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MANUEL D’UTILISATION – AGI GESTION STARLINK</w:t>
      </w:r>
    </w:p>
    <w:p>
      <w:pPr>
        <w:pStyle w:val="Subtitle"/>
      </w:pPr>
      <w:r>
        <w:t>Andonick Group</w:t>
      </w:r>
    </w:p>
    <w:p>
      <w:r>
        <w:t>Guide des administrateurs et utilisateurs</w:t>
        <w:br/>
        <w:t>Édition du 21 septembre 2026 • Version 12</w:t>
      </w:r>
    </w:p>
    <w:p>
      <w:pPr>
        <w:pStyle w:val="Heading2"/>
      </w:pPr>
      <w:r>
        <w:t>Utiliser AGI au quotidien</w:t>
      </w:r>
    </w:p>
    <w:p>
      <w:r>
        <w:t>AGI centralise les clients, leurs échéances, leurs comptes Starlink, les kits associés et les paiements saisis par l’équipe. Ce manuel explique les opérations disponibles, les droits d’accès et les précautions à prendre pour conserver un historique cohérent.</w:t>
      </w:r>
    </w:p>
    <w:p>
      <w:r>
        <w:t>Le suivi est manuel. AGI ne pilote pas les antennes, ne suspend pas les abonnements chez Starlink et ne réalise aucun encaissement bancaire ou Mobile Money. Les montants et statuts enregistrés décrivent les opérations suivies par votre équipe.</w:t>
      </w:r>
    </w:p>
    <w:p>
      <w:pPr>
        <w:pStyle w:val="Heading2"/>
      </w:pPr>
      <w:r>
        <w:t>Sommaire</w:t>
      </w:r>
    </w:p>
    <w:p>
      <w:r>
        <w:t>1  Accès et connexion</w:t>
      </w:r>
    </w:p>
    <w:p>
      <w:r>
        <w:t>2  Navigation et indicateurs</w:t>
      </w:r>
    </w:p>
    <w:p>
      <w:r>
        <w:t>3  Créer et consulter un client</w:t>
      </w:r>
    </w:p>
    <w:p>
      <w:r>
        <w:t>4  Modifier et supprimer un client</w:t>
      </w:r>
    </w:p>
    <w:p>
      <w:r>
        <w:t>5  Gérer les comptes Starlink</w:t>
      </w:r>
    </w:p>
    <w:p>
      <w:r>
        <w:t>6  Gérer les kits</w:t>
      </w:r>
    </w:p>
    <w:p>
      <w:r>
        <w:t>7  Enregistrer et consulter les paiements</w:t>
      </w:r>
    </w:p>
    <w:p>
      <w:r>
        <w:t>8  Archiver et restaurer</w:t>
      </w:r>
    </w:p>
    <w:p>
      <w:r>
        <w:t>9  Créer et gérer les utilisateurs</w:t>
      </w:r>
    </w:p>
    <w:p>
      <w:r>
        <w:t>10  Mots de passe et sécurité</w:t>
      </w:r>
    </w:p>
    <w:p>
      <w:r>
        <w:t>11  Résoudre les difficultés courantes</w:t>
      </w:r>
    </w:p>
    <w:p>
      <w:r>
        <w:t>12  Administration technique et périmètre de version</w:t>
      </w:r>
    </w:p>
    <w:p>
      <w:r>
        <w:t>Les intitulés entre guillemets correspondent aux commandes de l’application. Les recommandations de sécurité complètent les protections existantes sans constituer des fonctions supplémentaires.</w:t>
      </w:r>
    </w:p>
    <w:p>
      <w:r>
        <w:br w:type="page"/>
      </w:r>
    </w:p>
    <w:p>
      <w:pPr>
        <w:pStyle w:val="Heading1"/>
      </w:pPr>
      <w:r>
        <w:t>1  Accès et connexion</w:t>
      </w:r>
    </w:p>
    <w:p>
      <w:pPr>
        <w:pStyle w:val="Heading2"/>
      </w:pPr>
      <w:r>
        <w:t>Préparer votre accès</w:t>
      </w:r>
    </w:p>
    <w:p>
      <w:r>
        <w:t>Utilisez l’adresse communiquée par Andonick Group. L’adresse de la version publiée est https://orbite-clients-starlink.nicoandonick.chatgpt.site/. Conservez la même adresse dans vos favoris : les sessions sont propres à chaque domaine.</w:t>
      </w:r>
    </w:p>
    <w:p>
      <w:r>
        <w:t>Pour vous connecter, vous devez disposer d’un accès AGI actif, d’une adresse e-mail et d’un mot de passe AGI initialisé. La connaissance d’une adresse e-mail ne suffit pas. L’application ne propose ni inscription publique ni connexion avec ChatGPT.</w:t>
      </w:r>
    </w:p>
    <w:p>
      <w:pPr>
        <w:pStyle w:val="Heading2"/>
      </w:pPr>
      <w:r>
        <w:t>Se connecter</w:t>
      </w:r>
    </w:p>
    <w:p>
      <w:r>
        <w:t>1. Ouvrez le site dans votre navigateur. Le formulaire conserve le logo AGI.</w:t>
      </w:r>
    </w:p>
    <w:p>
      <w:r>
        <w:t>2. Dans « E-mail », saisissez l’adresse de votre accès AGI.</w:t>
      </w:r>
    </w:p>
    <w:p>
      <w:r>
        <w:t>3. Dans « Mot de passe », saisissez le mot de passe remis ou défini pour cet accès. Respectez les majuscules, minuscules et espaces.</w:t>
      </w:r>
    </w:p>
    <w:p>
      <w:r>
        <w:t>4. Cliquez sur « Connexion ». Après validation, vous accédez à la gestion des clients.</w:t>
      </w:r>
    </w:p>
    <w:p>
      <w:r>
        <w:t>Les espaces autour de l’adresse e-mail sont ignorés et l’adresse est normalisée en minuscules. Le mot de passe est vérifié tel qu’il est saisi. Un mot de passe ChatGPT ne devient pas automatiquement un mot de passe AGI.</w:t>
      </w:r>
    </w:p>
    <w:p>
      <w:pPr>
        <w:pStyle w:val="Heading2"/>
      </w:pPr>
      <w:r>
        <w:t>Comprendre vos droits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472"/>
        <w:gridCol w:w="1800"/>
        <w:gridCol w:w="2304"/>
      </w:tblGrid>
      <w:tr>
        <w:trPr>
          <w:tblHeader/>
        </w:trPr>
        <w:tc>
          <w:tcPr>
            <w:tcW w:type="dxa" w:w="5472"/>
            <w:vAlign w:val="center"/>
            <w:tcMar>
              <w:top w:w="85" w:type="dxa"/>
              <w:left w:w="85" w:type="dxa"/>
              <w:bottom w:w="85" w:type="dxa"/>
              <w:right w:w="85" w:type="dxa"/>
            </w:tcMar>
            <w:shd w:fill="E8EDF3"/>
          </w:tcPr>
          <w:p>
            <w:pPr>
              <w:spacing w:after="40" w:line="252" w:lineRule="auto"/>
            </w:pPr>
            <w:r>
              <w:rPr>
                <w:b/>
                <w:sz w:val="19"/>
              </w:rPr>
              <w:t>Opération</w:t>
            </w:r>
          </w:p>
        </w:tc>
        <w:tc>
          <w:tcPr>
            <w:tcW w:type="dxa" w:w="1800"/>
            <w:vAlign w:val="center"/>
            <w:tcMar>
              <w:top w:w="85" w:type="dxa"/>
              <w:left w:w="85" w:type="dxa"/>
              <w:bottom w:w="85" w:type="dxa"/>
              <w:right w:w="85" w:type="dxa"/>
            </w:tcMar>
            <w:shd w:fill="E8EDF3"/>
          </w:tcPr>
          <w:p>
            <w:pPr>
              <w:spacing w:after="40" w:line="252" w:lineRule="auto"/>
            </w:pPr>
            <w:r>
              <w:rPr>
                <w:b/>
                <w:sz w:val="19"/>
              </w:rPr>
              <w:t>Utilisateur</w:t>
            </w:r>
          </w:p>
        </w:tc>
        <w:tc>
          <w:tcPr>
            <w:tcW w:type="dxa" w:w="2304"/>
            <w:vAlign w:val="center"/>
            <w:tcMar>
              <w:top w:w="85" w:type="dxa"/>
              <w:left w:w="85" w:type="dxa"/>
              <w:bottom w:w="85" w:type="dxa"/>
              <w:right w:w="85" w:type="dxa"/>
            </w:tcMar>
            <w:shd w:fill="E8EDF3"/>
          </w:tcPr>
          <w:p>
            <w:pPr>
              <w:spacing w:after="40" w:line="252" w:lineRule="auto"/>
            </w:pPr>
            <w:r>
              <w:rPr>
                <w:b/>
                <w:sz w:val="19"/>
              </w:rPr>
              <w:t>Administrateur</w:t>
            </w:r>
          </w:p>
        </w:tc>
      </w:tr>
      <w:tr>
        <w:tc>
          <w:tcPr>
            <w:tcW w:type="dxa" w:w="5472"/>
            <w:vAlign w:val="center"/>
            <w:tcMar>
              <w:top w:w="85" w:type="dxa"/>
              <w:left w:w="85" w:type="dxa"/>
              <w:bottom w:w="85" w:type="dxa"/>
              <w:right w:w="85" w:type="dxa"/>
            </w:tcMar>
          </w:tcPr>
          <w:p>
            <w:pPr>
              <w:spacing w:after="40" w:line="252" w:lineRule="auto"/>
            </w:pPr>
            <w:r>
              <w:rPr>
                <w:b w:val="0"/>
                <w:sz w:val="19"/>
              </w:rPr>
              <w:t>Clients, comptes Starlink, kits et paiements</w:t>
            </w:r>
          </w:p>
        </w:tc>
        <w:tc>
          <w:tcPr>
            <w:tcW w:type="dxa" w:w="1800"/>
            <w:vAlign w:val="center"/>
            <w:tcMar>
              <w:top w:w="85" w:type="dxa"/>
              <w:left w:w="85" w:type="dxa"/>
              <w:bottom w:w="85" w:type="dxa"/>
              <w:right w:w="85" w:type="dxa"/>
            </w:tcMar>
          </w:tcPr>
          <w:p>
            <w:pPr>
              <w:spacing w:after="40" w:line="252" w:lineRule="auto"/>
            </w:pPr>
            <w:r>
              <w:rPr>
                <w:b w:val="0"/>
                <w:sz w:val="19"/>
              </w:rPr>
              <w:t>Oui</w:t>
            </w:r>
          </w:p>
        </w:tc>
        <w:tc>
          <w:tcPr>
            <w:tcW w:type="dxa" w:w="2304"/>
            <w:vAlign w:val="center"/>
            <w:tcMar>
              <w:top w:w="85" w:type="dxa"/>
              <w:left w:w="85" w:type="dxa"/>
              <w:bottom w:w="85" w:type="dxa"/>
              <w:right w:w="85" w:type="dxa"/>
            </w:tcMar>
          </w:tcPr>
          <w:p>
            <w:pPr>
              <w:spacing w:after="40" w:line="252" w:lineRule="auto"/>
            </w:pPr>
            <w:r>
              <w:rPr>
                <w:b w:val="0"/>
                <w:sz w:val="19"/>
              </w:rPr>
              <w:t>Oui</w:t>
            </w:r>
          </w:p>
        </w:tc>
      </w:tr>
      <w:tr>
        <w:tc>
          <w:tcPr>
            <w:tcW w:type="dxa" w:w="5472"/>
            <w:vAlign w:val="center"/>
            <w:tcMar>
              <w:top w:w="85" w:type="dxa"/>
              <w:left w:w="85" w:type="dxa"/>
              <w:bottom w:w="85" w:type="dxa"/>
              <w:right w:w="85" w:type="dxa"/>
            </w:tcMar>
          </w:tcPr>
          <w:p>
            <w:pPr>
              <w:spacing w:after="40" w:line="252" w:lineRule="auto"/>
            </w:pPr>
            <w:r>
              <w:rPr>
                <w:b w:val="0"/>
                <w:sz w:val="19"/>
              </w:rPr>
              <w:t>Archivage et restauration des clients</w:t>
            </w:r>
          </w:p>
        </w:tc>
        <w:tc>
          <w:tcPr>
            <w:tcW w:type="dxa" w:w="1800"/>
            <w:vAlign w:val="center"/>
            <w:tcMar>
              <w:top w:w="85" w:type="dxa"/>
              <w:left w:w="85" w:type="dxa"/>
              <w:bottom w:w="85" w:type="dxa"/>
              <w:right w:w="85" w:type="dxa"/>
            </w:tcMar>
          </w:tcPr>
          <w:p>
            <w:pPr>
              <w:spacing w:after="40" w:line="252" w:lineRule="auto"/>
            </w:pPr>
            <w:r>
              <w:rPr>
                <w:b w:val="0"/>
                <w:sz w:val="19"/>
              </w:rPr>
              <w:t>Oui</w:t>
            </w:r>
          </w:p>
        </w:tc>
        <w:tc>
          <w:tcPr>
            <w:tcW w:type="dxa" w:w="2304"/>
            <w:vAlign w:val="center"/>
            <w:tcMar>
              <w:top w:w="85" w:type="dxa"/>
              <w:left w:w="85" w:type="dxa"/>
              <w:bottom w:w="85" w:type="dxa"/>
              <w:right w:w="85" w:type="dxa"/>
            </w:tcMar>
          </w:tcPr>
          <w:p>
            <w:pPr>
              <w:spacing w:after="40" w:line="252" w:lineRule="auto"/>
            </w:pPr>
            <w:r>
              <w:rPr>
                <w:b w:val="0"/>
                <w:sz w:val="19"/>
              </w:rPr>
              <w:t>Oui</w:t>
            </w:r>
          </w:p>
        </w:tc>
      </w:tr>
      <w:tr>
        <w:tc>
          <w:tcPr>
            <w:tcW w:type="dxa" w:w="5472"/>
            <w:vAlign w:val="center"/>
            <w:tcMar>
              <w:top w:w="85" w:type="dxa"/>
              <w:left w:w="85" w:type="dxa"/>
              <w:bottom w:w="85" w:type="dxa"/>
              <w:right w:w="85" w:type="dxa"/>
            </w:tcMar>
          </w:tcPr>
          <w:p>
            <w:pPr>
              <w:spacing w:after="40" w:line="252" w:lineRule="auto"/>
            </w:pPr>
            <w:r>
              <w:rPr>
                <w:b w:val="0"/>
                <w:sz w:val="19"/>
              </w:rPr>
              <w:t>Suppression d’un client sans dépendance</w:t>
            </w:r>
          </w:p>
        </w:tc>
        <w:tc>
          <w:tcPr>
            <w:tcW w:type="dxa" w:w="1800"/>
            <w:vAlign w:val="center"/>
            <w:tcMar>
              <w:top w:w="85" w:type="dxa"/>
              <w:left w:w="85" w:type="dxa"/>
              <w:bottom w:w="85" w:type="dxa"/>
              <w:right w:w="85" w:type="dxa"/>
            </w:tcMar>
          </w:tcPr>
          <w:p>
            <w:pPr>
              <w:spacing w:after="40" w:line="252" w:lineRule="auto"/>
            </w:pPr>
            <w:r>
              <w:rPr>
                <w:b w:val="0"/>
                <w:sz w:val="19"/>
              </w:rPr>
              <w:t>Oui</w:t>
            </w:r>
          </w:p>
        </w:tc>
        <w:tc>
          <w:tcPr>
            <w:tcW w:type="dxa" w:w="2304"/>
            <w:vAlign w:val="center"/>
            <w:tcMar>
              <w:top w:w="85" w:type="dxa"/>
              <w:left w:w="85" w:type="dxa"/>
              <w:bottom w:w="85" w:type="dxa"/>
              <w:right w:w="85" w:type="dxa"/>
            </w:tcMar>
          </w:tcPr>
          <w:p>
            <w:pPr>
              <w:spacing w:after="40" w:line="252" w:lineRule="auto"/>
            </w:pPr>
            <w:r>
              <w:rPr>
                <w:b w:val="0"/>
                <w:sz w:val="19"/>
              </w:rPr>
              <w:t>Oui</w:t>
            </w:r>
          </w:p>
        </w:tc>
      </w:tr>
      <w:tr>
        <w:tc>
          <w:tcPr>
            <w:tcW w:type="dxa" w:w="5472"/>
            <w:vAlign w:val="center"/>
            <w:tcMar>
              <w:top w:w="85" w:type="dxa"/>
              <w:left w:w="85" w:type="dxa"/>
              <w:bottom w:w="85" w:type="dxa"/>
              <w:right w:w="85" w:type="dxa"/>
            </w:tcMar>
          </w:tcPr>
          <w:p>
            <w:pPr>
              <w:spacing w:after="40" w:line="252" w:lineRule="auto"/>
            </w:pPr>
            <w:r>
              <w:rPr>
                <w:b w:val="0"/>
                <w:sz w:val="19"/>
              </w:rPr>
              <w:t>Gestion des accès et mots de passe des autres utilisateurs</w:t>
            </w:r>
          </w:p>
        </w:tc>
        <w:tc>
          <w:tcPr>
            <w:tcW w:type="dxa" w:w="1800"/>
            <w:vAlign w:val="center"/>
            <w:tcMar>
              <w:top w:w="85" w:type="dxa"/>
              <w:left w:w="85" w:type="dxa"/>
              <w:bottom w:w="85" w:type="dxa"/>
              <w:right w:w="85" w:type="dxa"/>
            </w:tcMar>
          </w:tcPr>
          <w:p>
            <w:pPr>
              <w:spacing w:after="40" w:line="252" w:lineRule="auto"/>
            </w:pPr>
            <w:r>
              <w:rPr>
                <w:b w:val="0"/>
                <w:sz w:val="19"/>
              </w:rPr>
              <w:t>Non</w:t>
            </w:r>
          </w:p>
        </w:tc>
        <w:tc>
          <w:tcPr>
            <w:tcW w:type="dxa" w:w="2304"/>
            <w:vAlign w:val="center"/>
            <w:tcMar>
              <w:top w:w="85" w:type="dxa"/>
              <w:left w:w="85" w:type="dxa"/>
              <w:bottom w:w="85" w:type="dxa"/>
              <w:right w:w="85" w:type="dxa"/>
            </w:tcMar>
          </w:tcPr>
          <w:p>
            <w:pPr>
              <w:spacing w:after="40" w:line="252" w:lineRule="auto"/>
            </w:pPr>
            <w:r>
              <w:rPr>
                <w:b w:val="0"/>
                <w:sz w:val="19"/>
              </w:rPr>
              <w:t>Oui</w:t>
            </w:r>
          </w:p>
        </w:tc>
      </w:tr>
    </w:tbl>
    <w:p/>
    <w:p>
      <w:r>
        <w:t>Les utilisateurs ordinaires ont accès aux données métier communes. Il n’existe pas de rôle limité à la consultation ni de restriction par client dans cette version.</w:t>
      </w:r>
    </w:p>
    <w:p>
      <w:pPr>
        <w:pStyle w:val="Heading2"/>
      </w:pPr>
      <w:r>
        <w:t>Terminer une session</w:t>
      </w:r>
    </w:p>
    <w:p>
      <w:r>
        <w:t>Cliquez sur « Déconnexion » dans l’en-tête, particulièrement sur un appareil partagé. Une session expire 12 heures après la connexion. Cette durée n’est pas un délai de 12 heures d’inactivité. Après expiration, reconnectez-vous pour poursuivre les opérations.</w:t>
      </w:r>
    </w:p>
    <w:p>
      <w:r>
        <w:br w:type="page"/>
      </w:r>
    </w:p>
    <w:p>
      <w:pPr>
        <w:pStyle w:val="Heading1"/>
      </w:pPr>
      <w:r>
        <w:t>2  Navigation et indicateurs</w:t>
      </w:r>
    </w:p>
    <w:p>
      <w:r>
        <w:t>L’en-tête affiche le logo AGI à gauche et le titre « Gestion Starlink » au centre. À droite figurent l’identité de la personne connectée et « Déconnexion ». Pour le propriétaire, l’affichage indique « Andonick » et « Administrateur principal ».</w:t>
      </w:r>
    </w:p>
    <w:p>
      <w:pPr>
        <w:pStyle w:val="Heading2"/>
      </w:pPr>
      <w:r>
        <w:t>Accéder aux sections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272"/>
      </w:tblGrid>
      <w:tr>
        <w:trPr>
          <w:tblHeader/>
        </w:trPr>
        <w:tc>
          <w:tcPr>
            <w:tcW w:type="dxa" w:w="2304"/>
            <w:vAlign w:val="center"/>
            <w:tcMar>
              <w:top w:w="85" w:type="dxa"/>
              <w:left w:w="85" w:type="dxa"/>
              <w:bottom w:w="85" w:type="dxa"/>
              <w:right w:w="85" w:type="dxa"/>
            </w:tcMar>
            <w:shd w:fill="E8EDF3"/>
          </w:tcPr>
          <w:p>
            <w:pPr>
              <w:spacing w:after="40" w:line="252" w:lineRule="auto"/>
            </w:pPr>
            <w:r>
              <w:rPr>
                <w:b/>
                <w:sz w:val="19"/>
              </w:rPr>
              <w:t>Section</w:t>
            </w:r>
          </w:p>
        </w:tc>
        <w:tc>
          <w:tcPr>
            <w:tcW w:type="dxa" w:w="7272"/>
            <w:vAlign w:val="center"/>
            <w:tcMar>
              <w:top w:w="85" w:type="dxa"/>
              <w:left w:w="85" w:type="dxa"/>
              <w:bottom w:w="85" w:type="dxa"/>
              <w:right w:w="85" w:type="dxa"/>
            </w:tcMar>
            <w:shd w:fill="E8EDF3"/>
          </w:tcPr>
          <w:p>
            <w:pPr>
              <w:spacing w:after="40" w:line="252" w:lineRule="auto"/>
            </w:pPr>
            <w:r>
              <w:rPr>
                <w:b/>
                <w:sz w:val="19"/>
              </w:rPr>
              <w:t>Usage</w:t>
            </w:r>
          </w:p>
        </w:tc>
      </w:tr>
      <w:tr>
        <w:tc>
          <w:tcPr>
            <w:tcW w:type="dxa" w:w="2304"/>
            <w:vAlign w:val="center"/>
            <w:tcMar>
              <w:top w:w="85" w:type="dxa"/>
              <w:left w:w="85" w:type="dxa"/>
              <w:bottom w:w="85" w:type="dxa"/>
              <w:right w:w="85" w:type="dxa"/>
            </w:tcMar>
          </w:tcPr>
          <w:p>
            <w:pPr>
              <w:spacing w:after="40" w:line="252" w:lineRule="auto"/>
            </w:pPr>
            <w:r>
              <w:rPr>
                <w:b w:val="0"/>
                <w:sz w:val="19"/>
              </w:rPr>
              <w:t>Clients</w:t>
            </w:r>
          </w:p>
        </w:tc>
        <w:tc>
          <w:tcPr>
            <w:tcW w:type="dxa" w:w="7272"/>
            <w:vAlign w:val="center"/>
            <w:tcMar>
              <w:top w:w="85" w:type="dxa"/>
              <w:left w:w="85" w:type="dxa"/>
              <w:bottom w:w="85" w:type="dxa"/>
              <w:right w:w="85" w:type="dxa"/>
            </w:tcMar>
          </w:tcPr>
          <w:p>
            <w:pPr>
              <w:spacing w:after="40" w:line="252" w:lineRule="auto"/>
            </w:pPr>
            <w:r>
              <w:rPr>
                <w:b w:val="0"/>
                <w:sz w:val="19"/>
              </w:rPr>
              <w:t>Créer, rechercher, modifier, archiver, restaurer et consulter les fiches clients.</w:t>
            </w:r>
          </w:p>
        </w:tc>
      </w:tr>
      <w:tr>
        <w:tc>
          <w:tcPr>
            <w:tcW w:type="dxa" w:w="2304"/>
            <w:vAlign w:val="center"/>
            <w:tcMar>
              <w:top w:w="85" w:type="dxa"/>
              <w:left w:w="85" w:type="dxa"/>
              <w:bottom w:w="85" w:type="dxa"/>
              <w:right w:w="85" w:type="dxa"/>
            </w:tcMar>
          </w:tcPr>
          <w:p>
            <w:pPr>
              <w:spacing w:after="40" w:line="252" w:lineRule="auto"/>
            </w:pPr>
            <w:r>
              <w:rPr>
                <w:b w:val="0"/>
                <w:sz w:val="19"/>
              </w:rPr>
              <w:t>Paiements</w:t>
            </w:r>
          </w:p>
        </w:tc>
        <w:tc>
          <w:tcPr>
            <w:tcW w:type="dxa" w:w="7272"/>
            <w:vAlign w:val="center"/>
            <w:tcMar>
              <w:top w:w="85" w:type="dxa"/>
              <w:left w:w="85" w:type="dxa"/>
              <w:bottom w:w="85" w:type="dxa"/>
              <w:right w:w="85" w:type="dxa"/>
            </w:tcMar>
          </w:tcPr>
          <w:p>
            <w:pPr>
              <w:spacing w:after="40" w:line="252" w:lineRule="auto"/>
            </w:pPr>
            <w:r>
              <w:rPr>
                <w:b w:val="0"/>
                <w:sz w:val="19"/>
              </w:rPr>
              <w:t>Consulter l’ensemble des paiements enregistrés.</w:t>
            </w:r>
          </w:p>
        </w:tc>
      </w:tr>
      <w:tr>
        <w:tc>
          <w:tcPr>
            <w:tcW w:type="dxa" w:w="2304"/>
            <w:vAlign w:val="center"/>
            <w:tcMar>
              <w:top w:w="85" w:type="dxa"/>
              <w:left w:w="85" w:type="dxa"/>
              <w:bottom w:w="85" w:type="dxa"/>
              <w:right w:w="85" w:type="dxa"/>
            </w:tcMar>
          </w:tcPr>
          <w:p>
            <w:pPr>
              <w:spacing w:after="40" w:line="252" w:lineRule="auto"/>
            </w:pPr>
            <w:r>
              <w:rPr>
                <w:b w:val="0"/>
                <w:sz w:val="19"/>
              </w:rPr>
              <w:t>Comptes Starlink</w:t>
            </w:r>
          </w:p>
        </w:tc>
        <w:tc>
          <w:tcPr>
            <w:tcW w:type="dxa" w:w="7272"/>
            <w:vAlign w:val="center"/>
            <w:tcMar>
              <w:top w:w="85" w:type="dxa"/>
              <w:left w:w="85" w:type="dxa"/>
              <w:bottom w:w="85" w:type="dxa"/>
              <w:right w:w="85" w:type="dxa"/>
            </w:tcMar>
          </w:tcPr>
          <w:p>
            <w:pPr>
              <w:spacing w:after="40" w:line="252" w:lineRule="auto"/>
            </w:pPr>
            <w:r>
              <w:rPr>
                <w:b w:val="0"/>
                <w:sz w:val="19"/>
              </w:rPr>
              <w:t>Gérer les comptes et les kits des clients actifs.</w:t>
            </w:r>
          </w:p>
        </w:tc>
      </w:tr>
      <w:tr>
        <w:tc>
          <w:tcPr>
            <w:tcW w:type="dxa" w:w="2304"/>
            <w:vAlign w:val="center"/>
            <w:tcMar>
              <w:top w:w="85" w:type="dxa"/>
              <w:left w:w="85" w:type="dxa"/>
              <w:bottom w:w="85" w:type="dxa"/>
              <w:right w:w="85" w:type="dxa"/>
            </w:tcMar>
          </w:tcPr>
          <w:p>
            <w:pPr>
              <w:spacing w:after="40" w:line="252" w:lineRule="auto"/>
            </w:pPr>
            <w:r>
              <w:rPr>
                <w:b w:val="0"/>
                <w:sz w:val="19"/>
              </w:rPr>
              <w:t>Utilisateurs</w:t>
            </w:r>
          </w:p>
        </w:tc>
        <w:tc>
          <w:tcPr>
            <w:tcW w:type="dxa" w:w="7272"/>
            <w:vAlign w:val="center"/>
            <w:tcMar>
              <w:top w:w="85" w:type="dxa"/>
              <w:left w:w="85" w:type="dxa"/>
              <w:bottom w:w="85" w:type="dxa"/>
              <w:right w:w="85" w:type="dxa"/>
            </w:tcMar>
          </w:tcPr>
          <w:p>
            <w:pPr>
              <w:spacing w:after="40" w:line="252" w:lineRule="auto"/>
            </w:pPr>
            <w:r>
              <w:rPr>
                <w:b w:val="0"/>
                <w:sz w:val="19"/>
              </w:rPr>
              <w:t>Administrer les accès. Cette section apparaît seulement pour l’administrateur.</w:t>
            </w:r>
          </w:p>
        </w:tc>
      </w:tr>
    </w:tbl>
    <w:p/>
    <w:p>
      <w:pPr>
        <w:pStyle w:val="Heading2"/>
      </w:pPr>
      <w:r>
        <w:t>Lire les compteurs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6552"/>
      </w:tblGrid>
      <w:tr>
        <w:trPr>
          <w:tblHeader/>
        </w:trPr>
        <w:tc>
          <w:tcPr>
            <w:tcW w:type="dxa" w:w="3024"/>
            <w:vAlign w:val="center"/>
            <w:tcMar>
              <w:top w:w="85" w:type="dxa"/>
              <w:left w:w="85" w:type="dxa"/>
              <w:bottom w:w="85" w:type="dxa"/>
              <w:right w:w="85" w:type="dxa"/>
            </w:tcMar>
            <w:shd w:fill="E8EDF3"/>
          </w:tcPr>
          <w:p>
            <w:pPr>
              <w:spacing w:after="40" w:line="252" w:lineRule="auto"/>
            </w:pPr>
            <w:r>
              <w:rPr>
                <w:b/>
                <w:sz w:val="19"/>
              </w:rPr>
              <w:t>Indicateur</w:t>
            </w:r>
          </w:p>
        </w:tc>
        <w:tc>
          <w:tcPr>
            <w:tcW w:type="dxa" w:w="6552"/>
            <w:vAlign w:val="center"/>
            <w:tcMar>
              <w:top w:w="85" w:type="dxa"/>
              <w:left w:w="85" w:type="dxa"/>
              <w:bottom w:w="85" w:type="dxa"/>
              <w:right w:w="85" w:type="dxa"/>
            </w:tcMar>
            <w:shd w:fill="E8EDF3"/>
          </w:tcPr>
          <w:p>
            <w:pPr>
              <w:spacing w:after="40" w:line="252" w:lineRule="auto"/>
            </w:pPr>
            <w:r>
              <w:rPr>
                <w:b/>
                <w:sz w:val="19"/>
              </w:rPr>
              <w:t>Signification</w:t>
            </w:r>
          </w:p>
        </w:tc>
      </w:tr>
      <w:tr>
        <w:tc>
          <w:tcPr>
            <w:tcW w:type="dxa" w:w="3024"/>
            <w:vAlign w:val="center"/>
            <w:tcMar>
              <w:top w:w="85" w:type="dxa"/>
              <w:left w:w="85" w:type="dxa"/>
              <w:bottom w:w="85" w:type="dxa"/>
              <w:right w:w="85" w:type="dxa"/>
            </w:tcMar>
          </w:tcPr>
          <w:p>
            <w:pPr>
              <w:spacing w:after="40" w:line="252" w:lineRule="auto"/>
            </w:pPr>
            <w:r>
              <w:rPr>
                <w:b w:val="0"/>
                <w:sz w:val="19"/>
              </w:rPr>
              <w:t>Clients actifs</w:t>
            </w:r>
          </w:p>
        </w:tc>
        <w:tc>
          <w:tcPr>
            <w:tcW w:type="dxa" w:w="6552"/>
            <w:vAlign w:val="center"/>
            <w:tcMar>
              <w:top w:w="85" w:type="dxa"/>
              <w:left w:w="85" w:type="dxa"/>
              <w:bottom w:w="85" w:type="dxa"/>
              <w:right w:w="85" w:type="dxa"/>
            </w:tcMar>
          </w:tcPr>
          <w:p>
            <w:pPr>
              <w:spacing w:after="40" w:line="252" w:lineRule="auto"/>
            </w:pPr>
            <w:r>
              <w:rPr>
                <w:b w:val="0"/>
                <w:sz w:val="19"/>
              </w:rPr>
              <w:t>Nombre de clients non archivés.</w:t>
            </w:r>
          </w:p>
        </w:tc>
      </w:tr>
      <w:tr>
        <w:tc>
          <w:tcPr>
            <w:tcW w:type="dxa" w:w="3024"/>
            <w:vAlign w:val="center"/>
            <w:tcMar>
              <w:top w:w="85" w:type="dxa"/>
              <w:left w:w="85" w:type="dxa"/>
              <w:bottom w:w="85" w:type="dxa"/>
              <w:right w:w="85" w:type="dxa"/>
            </w:tcMar>
          </w:tcPr>
          <w:p>
            <w:pPr>
              <w:spacing w:after="40" w:line="252" w:lineRule="auto"/>
            </w:pPr>
            <w:r>
              <w:rPr>
                <w:b w:val="0"/>
                <w:sz w:val="19"/>
              </w:rPr>
              <w:t>Échéances dépassées</w:t>
            </w:r>
          </w:p>
        </w:tc>
        <w:tc>
          <w:tcPr>
            <w:tcW w:type="dxa" w:w="6552"/>
            <w:vAlign w:val="center"/>
            <w:tcMar>
              <w:top w:w="85" w:type="dxa"/>
              <w:left w:w="85" w:type="dxa"/>
              <w:bottom w:w="85" w:type="dxa"/>
              <w:right w:w="85" w:type="dxa"/>
            </w:tcMar>
          </w:tcPr>
          <w:p>
            <w:pPr>
              <w:spacing w:after="40" w:line="252" w:lineRule="auto"/>
            </w:pPr>
            <w:r>
              <w:rPr>
                <w:b w:val="0"/>
                <w:sz w:val="19"/>
              </w:rPr>
              <w:t>Clients actifs dont l’échéance est antérieure à la date du jour.</w:t>
            </w:r>
          </w:p>
        </w:tc>
      </w:tr>
      <w:tr>
        <w:tc>
          <w:tcPr>
            <w:tcW w:type="dxa" w:w="3024"/>
            <w:vAlign w:val="center"/>
            <w:tcMar>
              <w:top w:w="85" w:type="dxa"/>
              <w:left w:w="85" w:type="dxa"/>
              <w:bottom w:w="85" w:type="dxa"/>
              <w:right w:w="85" w:type="dxa"/>
            </w:tcMar>
          </w:tcPr>
          <w:p>
            <w:pPr>
              <w:spacing w:after="40" w:line="252" w:lineRule="auto"/>
            </w:pPr>
            <w:r>
              <w:rPr>
                <w:b w:val="0"/>
                <w:sz w:val="19"/>
              </w:rPr>
              <w:t>À renouveler sous 7 jours</w:t>
            </w:r>
          </w:p>
        </w:tc>
        <w:tc>
          <w:tcPr>
            <w:tcW w:type="dxa" w:w="6552"/>
            <w:vAlign w:val="center"/>
            <w:tcMar>
              <w:top w:w="85" w:type="dxa"/>
              <w:left w:w="85" w:type="dxa"/>
              <w:bottom w:w="85" w:type="dxa"/>
              <w:right w:w="85" w:type="dxa"/>
            </w:tcMar>
          </w:tcPr>
          <w:p>
            <w:pPr>
              <w:spacing w:after="40" w:line="252" w:lineRule="auto"/>
            </w:pPr>
            <w:r>
              <w:rPr>
                <w:b w:val="0"/>
                <w:sz w:val="19"/>
              </w:rPr>
              <w:t>Clients actifs dont l’échéance va d’aujourd’hui aux sept jours suivants, bornes incluses.</w:t>
            </w:r>
          </w:p>
        </w:tc>
      </w:tr>
      <w:tr>
        <w:tc>
          <w:tcPr>
            <w:tcW w:type="dxa" w:w="3024"/>
            <w:vAlign w:val="center"/>
            <w:tcMar>
              <w:top w:w="85" w:type="dxa"/>
              <w:left w:w="85" w:type="dxa"/>
              <w:bottom w:w="85" w:type="dxa"/>
              <w:right w:w="85" w:type="dxa"/>
            </w:tcMar>
          </w:tcPr>
          <w:p>
            <w:pPr>
              <w:spacing w:after="40" w:line="252" w:lineRule="auto"/>
            </w:pPr>
            <w:r>
              <w:rPr>
                <w:b w:val="0"/>
                <w:sz w:val="19"/>
              </w:rPr>
              <w:t>Paiements enregistrés</w:t>
            </w:r>
          </w:p>
        </w:tc>
        <w:tc>
          <w:tcPr>
            <w:tcW w:type="dxa" w:w="6552"/>
            <w:vAlign w:val="center"/>
            <w:tcMar>
              <w:top w:w="85" w:type="dxa"/>
              <w:left w:w="85" w:type="dxa"/>
              <w:bottom w:w="85" w:type="dxa"/>
              <w:right w:w="85" w:type="dxa"/>
            </w:tcMar>
          </w:tcPr>
          <w:p>
            <w:pPr>
              <w:spacing w:after="40" w:line="252" w:lineRule="auto"/>
            </w:pPr>
            <w:r>
              <w:rPr>
                <w:b w:val="0"/>
                <w:sz w:val="19"/>
              </w:rPr>
              <w:t>Nombre de paiements saisis, y compris ceux des clients archivés. Ce n’est pas un total de recettes.</w:t>
            </w:r>
          </w:p>
        </w:tc>
      </w:tr>
    </w:tbl>
    <w:p/>
    <w:p>
      <w:r>
        <w:t>La mention du nombre de clients « au total » inclut les clients archivés. Elle peut donc être supérieure au compteur « Clients actifs ». Une échéance prévue aujourd’hui n’est pas encore dépassée.</w:t>
      </w:r>
    </w:p>
    <w:p>
      <w:pPr>
        <w:pStyle w:val="Heading2"/>
      </w:pPr>
      <w:r>
        <w:t>Retrouver les clients à suivre</w:t>
      </w:r>
    </w:p>
    <w:p>
      <w:r>
        <w:t>Cliquez sur « Voir les clients concernés » sous les échéances dépassées pour ouvrir la liste Clients avec ce filtre. Dans « Clients actifs », le sélecteur permet de revenir à « Tous les clients actifs » ou de choisir « Échéance dépassée ».</w:t>
      </w:r>
    </w:p>
    <w:p>
      <w:pPr>
        <w:pStyle w:val="Heading2"/>
      </w:pPr>
      <w:r>
        <w:t>Utiliser AGI sur mobile</w:t>
      </w:r>
    </w:p>
    <w:p>
      <w:r>
        <w:t>Les mêmes opérations sont disponibles depuis le navigateur mobile. Faites défiler la page pour atteindre les formulaires et les actions. Si un tableau dépasse la largeur de l’écran, faites-le défiler horizontalement pour consulter les colonnes et les boutons à droite. Vérifiez le client sélectionné avant de valider une saisie.</w:t>
      </w:r>
    </w:p>
    <w:p>
      <w:r>
        <w:br w:type="page"/>
      </w:r>
    </w:p>
    <w:p>
      <w:pPr>
        <w:pStyle w:val="Heading1"/>
      </w:pPr>
      <w:r>
        <w:t>3  Créer et consulter un client</w:t>
      </w:r>
    </w:p>
    <w:p>
      <w:pPr>
        <w:pStyle w:val="Heading2"/>
      </w:pPr>
      <w:r>
        <w:t>Créer la fiche</w:t>
      </w:r>
    </w:p>
    <w:p>
      <w:r>
        <w:t>1. Cliquez sur « Nouveau client », ou sur « Ajouter un client » si la liste est vide.</w:t>
      </w:r>
    </w:p>
    <w:p>
      <w:r>
        <w:t>2. Renseignez les informations du client et sélectionnez explicitement sa devise.</w:t>
      </w:r>
    </w:p>
    <w:p>
      <w:r>
        <w:t>3. Si nécessaire, ajoutez les comptes Starlink et les kits dans la partie « Comptes Starlink et kits » du formulaire.</w:t>
      </w:r>
    </w:p>
    <w:p>
      <w:r>
        <w:t>4. Relisez les montants, la devise et l’échéance, puis cliquez sur « Enregistrer le client ». Attendez le message de confirmation.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6552"/>
      </w:tblGrid>
      <w:tr>
        <w:trPr>
          <w:tblHeader/>
        </w:trPr>
        <w:tc>
          <w:tcPr>
            <w:tcW w:type="dxa" w:w="3024"/>
            <w:vAlign w:val="center"/>
            <w:tcMar>
              <w:top w:w="85" w:type="dxa"/>
              <w:left w:w="85" w:type="dxa"/>
              <w:bottom w:w="85" w:type="dxa"/>
              <w:right w:w="85" w:type="dxa"/>
            </w:tcMar>
            <w:shd w:fill="E8EDF3"/>
          </w:tcPr>
          <w:p>
            <w:pPr>
              <w:spacing w:after="40" w:line="252" w:lineRule="auto"/>
            </w:pPr>
            <w:r>
              <w:rPr>
                <w:b/>
                <w:sz w:val="19"/>
              </w:rPr>
              <w:t>Champ</w:t>
            </w:r>
          </w:p>
        </w:tc>
        <w:tc>
          <w:tcPr>
            <w:tcW w:type="dxa" w:w="6552"/>
            <w:vAlign w:val="center"/>
            <w:tcMar>
              <w:top w:w="85" w:type="dxa"/>
              <w:left w:w="85" w:type="dxa"/>
              <w:bottom w:w="85" w:type="dxa"/>
              <w:right w:w="85" w:type="dxa"/>
            </w:tcMar>
            <w:shd w:fill="E8EDF3"/>
          </w:tcPr>
          <w:p>
            <w:pPr>
              <w:spacing w:after="40" w:line="252" w:lineRule="auto"/>
            </w:pPr>
            <w:r>
              <w:rPr>
                <w:b/>
                <w:sz w:val="19"/>
              </w:rPr>
              <w:t>Obligation et utilisation</w:t>
            </w:r>
          </w:p>
        </w:tc>
      </w:tr>
      <w:tr>
        <w:tc>
          <w:tcPr>
            <w:tcW w:type="dxa" w:w="3024"/>
            <w:vAlign w:val="center"/>
            <w:tcMar>
              <w:top w:w="85" w:type="dxa"/>
              <w:left w:w="85" w:type="dxa"/>
              <w:bottom w:w="85" w:type="dxa"/>
              <w:right w:w="85" w:type="dxa"/>
            </w:tcMar>
          </w:tcPr>
          <w:p>
            <w:pPr>
              <w:spacing w:after="40" w:line="252" w:lineRule="auto"/>
            </w:pPr>
            <w:r>
              <w:rPr>
                <w:b w:val="0"/>
                <w:sz w:val="19"/>
              </w:rPr>
              <w:t>Nom du client</w:t>
            </w:r>
          </w:p>
        </w:tc>
        <w:tc>
          <w:tcPr>
            <w:tcW w:type="dxa" w:w="6552"/>
            <w:vAlign w:val="center"/>
            <w:tcMar>
              <w:top w:w="85" w:type="dxa"/>
              <w:left w:w="85" w:type="dxa"/>
              <w:bottom w:w="85" w:type="dxa"/>
              <w:right w:w="85" w:type="dxa"/>
            </w:tcMar>
          </w:tcPr>
          <w:p>
            <w:pPr>
              <w:spacing w:after="40" w:line="252" w:lineRule="auto"/>
            </w:pPr>
            <w:r>
              <w:rPr>
                <w:b w:val="0"/>
                <w:sz w:val="19"/>
              </w:rPr>
              <w:t>Obligatoire. Identifie le client dans les listes et paiements.</w:t>
            </w:r>
          </w:p>
        </w:tc>
      </w:tr>
      <w:tr>
        <w:tc>
          <w:tcPr>
            <w:tcW w:type="dxa" w:w="3024"/>
            <w:vAlign w:val="center"/>
            <w:tcMar>
              <w:top w:w="85" w:type="dxa"/>
              <w:left w:w="85" w:type="dxa"/>
              <w:bottom w:w="85" w:type="dxa"/>
              <w:right w:w="85" w:type="dxa"/>
            </w:tcMar>
          </w:tcPr>
          <w:p>
            <w:pPr>
              <w:spacing w:after="40" w:line="252" w:lineRule="auto"/>
            </w:pPr>
            <w:r>
              <w:rPr>
                <w:b w:val="0"/>
                <w:sz w:val="19"/>
              </w:rPr>
              <w:t>Tarif mensuel</w:t>
            </w:r>
          </w:p>
        </w:tc>
        <w:tc>
          <w:tcPr>
            <w:tcW w:type="dxa" w:w="6552"/>
            <w:vAlign w:val="center"/>
            <w:tcMar>
              <w:top w:w="85" w:type="dxa"/>
              <w:left w:w="85" w:type="dxa"/>
              <w:bottom w:w="85" w:type="dxa"/>
              <w:right w:w="85" w:type="dxa"/>
            </w:tcMar>
          </w:tcPr>
          <w:p>
            <w:pPr>
              <w:spacing w:after="40" w:line="252" w:lineRule="auto"/>
            </w:pPr>
            <w:r>
              <w:rPr>
                <w:b w:val="0"/>
                <w:sz w:val="19"/>
              </w:rPr>
              <w:t>Obligatoire. Montant supérieur ou égal à zéro.</w:t>
            </w:r>
          </w:p>
        </w:tc>
      </w:tr>
      <w:tr>
        <w:tc>
          <w:tcPr>
            <w:tcW w:type="dxa" w:w="3024"/>
            <w:vAlign w:val="center"/>
            <w:tcMar>
              <w:top w:w="85" w:type="dxa"/>
              <w:left w:w="85" w:type="dxa"/>
              <w:bottom w:w="85" w:type="dxa"/>
              <w:right w:w="85" w:type="dxa"/>
            </w:tcMar>
          </w:tcPr>
          <w:p>
            <w:pPr>
              <w:spacing w:after="40" w:line="252" w:lineRule="auto"/>
            </w:pPr>
            <w:r>
              <w:rPr>
                <w:b w:val="0"/>
                <w:sz w:val="19"/>
              </w:rPr>
              <w:t>Devise</w:t>
            </w:r>
          </w:p>
        </w:tc>
        <w:tc>
          <w:tcPr>
            <w:tcW w:type="dxa" w:w="6552"/>
            <w:vAlign w:val="center"/>
            <w:tcMar>
              <w:top w:w="85" w:type="dxa"/>
              <w:left w:w="85" w:type="dxa"/>
              <w:bottom w:w="85" w:type="dxa"/>
              <w:right w:w="85" w:type="dxa"/>
            </w:tcMar>
          </w:tcPr>
          <w:p>
            <w:pPr>
              <w:spacing w:after="40" w:line="252" w:lineRule="auto"/>
            </w:pPr>
            <w:r>
              <w:rPr>
                <w:b w:val="0"/>
                <w:sz w:val="19"/>
              </w:rPr>
              <w:t>Obligatoire. XAF, XOF, USD, EUR ou CDF.</w:t>
            </w:r>
          </w:p>
        </w:tc>
      </w:tr>
      <w:tr>
        <w:tc>
          <w:tcPr>
            <w:tcW w:type="dxa" w:w="3024"/>
            <w:vAlign w:val="center"/>
            <w:tcMar>
              <w:top w:w="85" w:type="dxa"/>
              <w:left w:w="85" w:type="dxa"/>
              <w:bottom w:w="85" w:type="dxa"/>
              <w:right w:w="85" w:type="dxa"/>
            </w:tcMar>
          </w:tcPr>
          <w:p>
            <w:pPr>
              <w:spacing w:after="40" w:line="252" w:lineRule="auto"/>
            </w:pPr>
            <w:r>
              <w:rPr>
                <w:b w:val="0"/>
                <w:sz w:val="19"/>
              </w:rPr>
              <w:t>Prochaine échéance</w:t>
            </w:r>
          </w:p>
        </w:tc>
        <w:tc>
          <w:tcPr>
            <w:tcW w:type="dxa" w:w="6552"/>
            <w:vAlign w:val="center"/>
            <w:tcMar>
              <w:top w:w="85" w:type="dxa"/>
              <w:left w:w="85" w:type="dxa"/>
              <w:bottom w:w="85" w:type="dxa"/>
              <w:right w:w="85" w:type="dxa"/>
            </w:tcMar>
          </w:tcPr>
          <w:p>
            <w:pPr>
              <w:spacing w:after="40" w:line="252" w:lineRule="auto"/>
            </w:pPr>
            <w:r>
              <w:rPr>
                <w:b w:val="0"/>
                <w:sz w:val="19"/>
              </w:rPr>
              <w:t>Obligatoire. Date valide pour le suivi du renouvellement.</w:t>
            </w:r>
          </w:p>
        </w:tc>
      </w:tr>
      <w:tr>
        <w:tc>
          <w:tcPr>
            <w:tcW w:type="dxa" w:w="3024"/>
            <w:vAlign w:val="center"/>
            <w:tcMar>
              <w:top w:w="85" w:type="dxa"/>
              <w:left w:w="85" w:type="dxa"/>
              <w:bottom w:w="85" w:type="dxa"/>
              <w:right w:w="85" w:type="dxa"/>
            </w:tcMar>
          </w:tcPr>
          <w:p>
            <w:pPr>
              <w:spacing w:after="40" w:line="252" w:lineRule="auto"/>
            </w:pPr>
            <w:r>
              <w:rPr>
                <w:b w:val="0"/>
                <w:sz w:val="19"/>
              </w:rPr>
              <w:t>Téléphone</w:t>
            </w:r>
          </w:p>
        </w:tc>
        <w:tc>
          <w:tcPr>
            <w:tcW w:type="dxa" w:w="6552"/>
            <w:vAlign w:val="center"/>
            <w:tcMar>
              <w:top w:w="85" w:type="dxa"/>
              <w:left w:w="85" w:type="dxa"/>
              <w:bottom w:w="85" w:type="dxa"/>
              <w:right w:w="85" w:type="dxa"/>
            </w:tcMar>
          </w:tcPr>
          <w:p>
            <w:pPr>
              <w:spacing w:after="40" w:line="252" w:lineRule="auto"/>
            </w:pPr>
            <w:r>
              <w:rPr>
                <w:b w:val="0"/>
                <w:sz w:val="19"/>
              </w:rPr>
              <w:t>Facultatif. Coordonnées de contact.</w:t>
            </w:r>
          </w:p>
        </w:tc>
      </w:tr>
      <w:tr>
        <w:tc>
          <w:tcPr>
            <w:tcW w:type="dxa" w:w="3024"/>
            <w:vAlign w:val="center"/>
            <w:tcMar>
              <w:top w:w="85" w:type="dxa"/>
              <w:left w:w="85" w:type="dxa"/>
              <w:bottom w:w="85" w:type="dxa"/>
              <w:right w:w="85" w:type="dxa"/>
            </w:tcMar>
          </w:tcPr>
          <w:p>
            <w:pPr>
              <w:spacing w:after="40" w:line="252" w:lineRule="auto"/>
            </w:pPr>
            <w:r>
              <w:rPr>
                <w:b w:val="0"/>
                <w:sz w:val="19"/>
              </w:rPr>
              <w:t>Adresse / quartier</w:t>
            </w:r>
          </w:p>
        </w:tc>
        <w:tc>
          <w:tcPr>
            <w:tcW w:type="dxa" w:w="6552"/>
            <w:vAlign w:val="center"/>
            <w:tcMar>
              <w:top w:w="85" w:type="dxa"/>
              <w:left w:w="85" w:type="dxa"/>
              <w:bottom w:w="85" w:type="dxa"/>
              <w:right w:w="85" w:type="dxa"/>
            </w:tcMar>
          </w:tcPr>
          <w:p>
            <w:pPr>
              <w:spacing w:after="40" w:line="252" w:lineRule="auto"/>
            </w:pPr>
            <w:r>
              <w:rPr>
                <w:b w:val="0"/>
                <w:sz w:val="19"/>
              </w:rPr>
              <w:t>Facultatif. Localisation du client.</w:t>
            </w:r>
          </w:p>
        </w:tc>
      </w:tr>
      <w:tr>
        <w:tc>
          <w:tcPr>
            <w:tcW w:type="dxa" w:w="3024"/>
            <w:vAlign w:val="center"/>
            <w:tcMar>
              <w:top w:w="85" w:type="dxa"/>
              <w:left w:w="85" w:type="dxa"/>
              <w:bottom w:w="85" w:type="dxa"/>
              <w:right w:w="85" w:type="dxa"/>
            </w:tcMar>
          </w:tcPr>
          <w:p>
            <w:pPr>
              <w:spacing w:after="40" w:line="252" w:lineRule="auto"/>
            </w:pPr>
            <w:r>
              <w:rPr>
                <w:b w:val="0"/>
                <w:sz w:val="19"/>
              </w:rPr>
              <w:t>Identifiant du kit</w:t>
            </w:r>
          </w:p>
        </w:tc>
        <w:tc>
          <w:tcPr>
            <w:tcW w:type="dxa" w:w="6552"/>
            <w:vAlign w:val="center"/>
            <w:tcMar>
              <w:top w:w="85" w:type="dxa"/>
              <w:left w:w="85" w:type="dxa"/>
              <w:bottom w:w="85" w:type="dxa"/>
              <w:right w:w="85" w:type="dxa"/>
            </w:tcMar>
          </w:tcPr>
          <w:p>
            <w:pPr>
              <w:spacing w:after="40" w:line="252" w:lineRule="auto"/>
            </w:pPr>
            <w:r>
              <w:rPr>
                <w:b w:val="0"/>
                <w:sz w:val="19"/>
              </w:rPr>
              <w:t>Facultatif. Champ de la fiche client distinct des kits détaillés.</w:t>
            </w:r>
          </w:p>
        </w:tc>
      </w:tr>
      <w:tr>
        <w:tc>
          <w:tcPr>
            <w:tcW w:type="dxa" w:w="3024"/>
            <w:vAlign w:val="center"/>
            <w:tcMar>
              <w:top w:w="85" w:type="dxa"/>
              <w:left w:w="85" w:type="dxa"/>
              <w:bottom w:w="85" w:type="dxa"/>
              <w:right w:w="85" w:type="dxa"/>
            </w:tcMar>
          </w:tcPr>
          <w:p>
            <w:pPr>
              <w:spacing w:after="40" w:line="252" w:lineRule="auto"/>
            </w:pPr>
            <w:r>
              <w:rPr>
                <w:b w:val="0"/>
                <w:sz w:val="19"/>
              </w:rPr>
              <w:t>Nom de l’offre</w:t>
            </w:r>
          </w:p>
        </w:tc>
        <w:tc>
          <w:tcPr>
            <w:tcW w:type="dxa" w:w="6552"/>
            <w:vAlign w:val="center"/>
            <w:tcMar>
              <w:top w:w="85" w:type="dxa"/>
              <w:left w:w="85" w:type="dxa"/>
              <w:bottom w:w="85" w:type="dxa"/>
              <w:right w:w="85" w:type="dxa"/>
            </w:tcMar>
          </w:tcPr>
          <w:p>
            <w:pPr>
              <w:spacing w:after="40" w:line="252" w:lineRule="auto"/>
            </w:pPr>
            <w:r>
              <w:rPr>
                <w:b w:val="0"/>
                <w:sz w:val="19"/>
              </w:rPr>
              <w:t>Facultatif. Désignation de l’abonnement suivi.</w:t>
            </w:r>
          </w:p>
        </w:tc>
      </w:tr>
      <w:tr>
        <w:tc>
          <w:tcPr>
            <w:tcW w:type="dxa" w:w="3024"/>
            <w:vAlign w:val="center"/>
            <w:tcMar>
              <w:top w:w="85" w:type="dxa"/>
              <w:left w:w="85" w:type="dxa"/>
              <w:bottom w:w="85" w:type="dxa"/>
              <w:right w:w="85" w:type="dxa"/>
            </w:tcMar>
          </w:tcPr>
          <w:p>
            <w:pPr>
              <w:spacing w:after="40" w:line="252" w:lineRule="auto"/>
            </w:pPr>
            <w:r>
              <w:rPr>
                <w:b w:val="0"/>
                <w:sz w:val="19"/>
              </w:rPr>
              <w:t>Notes</w:t>
            </w:r>
          </w:p>
        </w:tc>
        <w:tc>
          <w:tcPr>
            <w:tcW w:type="dxa" w:w="6552"/>
            <w:vAlign w:val="center"/>
            <w:tcMar>
              <w:top w:w="85" w:type="dxa"/>
              <w:left w:w="85" w:type="dxa"/>
              <w:bottom w:w="85" w:type="dxa"/>
              <w:right w:w="85" w:type="dxa"/>
            </w:tcMar>
          </w:tcPr>
          <w:p>
            <w:pPr>
              <w:spacing w:after="40" w:line="252" w:lineRule="auto"/>
            </w:pPr>
            <w:r>
              <w:rPr>
                <w:b w:val="0"/>
                <w:sz w:val="19"/>
              </w:rPr>
              <w:t>Facultatif. Informations utiles au suivi, sans mot de passe ni secret.</w:t>
            </w:r>
          </w:p>
        </w:tc>
      </w:tr>
    </w:tbl>
    <w:p/>
    <w:p>
      <w:r>
        <w:t>Les devises proposées sont FCFA (XAF), FCFA (XOF), Dollar (USD), Euro (EUR) et Franc congolais (CDF). Vérifiez le code : XAF et XOF sont deux choix distincts. Aucun taux de change ni conversion automatique n’est fourni.</w:t>
      </w:r>
    </w:p>
    <w:p>
      <w:pPr>
        <w:pStyle w:val="Heading2"/>
      </w:pPr>
      <w:r>
        <w:t>Ajouter des éléments lors de la création</w:t>
      </w:r>
    </w:p>
    <w:p>
      <w:r>
        <w:t>Un client peut être enregistré sans compte Starlink. Vous pourrez ajouter ses comptes et kits plus tard. Les commandes « Retirer ce kit non enregistré » et « Retirer ce compte non enregistré » retirent uniquement les éléments du formulaire en cours. « Annuler » ferme le formulaire sans enregistrer.</w:t>
      </w:r>
    </w:p>
    <w:p>
      <w:pPr>
        <w:pStyle w:val="Heading2"/>
      </w:pPr>
      <w:r>
        <w:t>Rechercher et ouvrir une fiche</w:t>
      </w:r>
    </w:p>
    <w:p>
      <w:r>
        <w:t>La recherche « Rechercher un nom, téléphone, kit… » porte sur le nom, le téléphone et le champ « Identifiant du kit » de la fiche. Pour rechercher un e-mail de compte ou un numéro de série de kit détaillé, utilisez « Comptes Starlink ». Cliquez sur le nom du client pour ouvrir sa fiche et retrouver ses comptes et kits associés.</w:t>
      </w:r>
    </w:p>
    <w:p>
      <w:r>
        <w:br w:type="page"/>
      </w:r>
    </w:p>
    <w:p>
      <w:pPr>
        <w:pStyle w:val="Heading1"/>
      </w:pPr>
      <w:r>
        <w:t>4  Modifier et supprimer un client</w:t>
      </w:r>
    </w:p>
    <w:p>
      <w:pPr>
        <w:pStyle w:val="Heading2"/>
      </w:pPr>
      <w:r>
        <w:t>Modifier les informations</w:t>
      </w:r>
    </w:p>
    <w:p>
      <w:r>
        <w:t>1. Dans « Clients », retrouvez la personne concernée.</w:t>
      </w:r>
    </w:p>
    <w:p>
      <w:r>
        <w:t>2. Cliquez sur l’icône de modification, identifiée par « Modifier » suivi du nom du client.</w:t>
      </w:r>
    </w:p>
    <w:p>
      <w:r>
        <w:t>3. Dans « Modifier le client », corrigez les informations nécessaires.</w:t>
      </w:r>
    </w:p>
    <w:p>
      <w:r>
        <w:t>4. Enregistrez, puis contrôlez les valeurs dans la liste ou la fiche.</w:t>
      </w:r>
    </w:p>
    <w:p>
      <w:r>
        <w:t>Le lien « Voir les comptes Starlink et kits » permet d’accéder aux éléments associés. Une modification du nom du client se répercute sur son nom affiché dans l’historique des paiements. Les paiements ne constituent pas une copie figée de l’ancienne fiche.</w:t>
      </w:r>
    </w:p>
    <w:p>
      <w:pPr>
        <w:pStyle w:val="Heading2"/>
      </w:pPr>
      <w:r>
        <w:t>Interpréter les états</w:t>
      </w:r>
    </w:p>
    <w:p>
      <w:r>
        <w:t>Un client non archivé apparaît « À jour » ou « À renouveler » selon son échéance. Un client archivé porte l’état « Archivé ». Ces états servent au suivi interne ; ils ne confirment pas la disponibilité d’une antenne ni le paiement d’un abonnement auprès de Starlink.</w:t>
      </w:r>
    </w:p>
    <w:p>
      <w:pPr>
        <w:pStyle w:val="Heading2"/>
      </w:pPr>
      <w:r>
        <w:t>Supprimer une fiche créée par erreur</w:t>
      </w:r>
    </w:p>
    <w:p>
      <w:r>
        <w:t>La suppression définitive est possible seulement si le client ne possède aucun paiement et aucun compte Starlink lié. Un compte Starlink sans kit suffit à empêcher la suppression. Cette règle protège les liens avec les données existantes et s’applique aussi aux clients archivés.</w:t>
      </w:r>
    </w:p>
    <w:p>
      <w:r>
        <w:t>1. Cliquez sur « Supprimer » pour le client concerné.</w:t>
      </w:r>
    </w:p>
    <w:p>
      <w:r>
        <w:t>2. Lisez le nom et les informations de la fenêtre de confirmation. Si la suppression est bloquée, conservez le client et utilisez l’archivage.</w:t>
      </w:r>
    </w:p>
    <w:p>
      <w:r>
        <w:t>3. Si la suppression est autorisée, saisissez exactement « SUPPRIMER ».</w:t>
      </w:r>
    </w:p>
    <w:p>
      <w:r>
        <w:t>4. Cliquez sur « Supprimer définitivement ». Pour abandonner, cliquez sur « Annuler ».</w:t>
      </w:r>
    </w:p>
    <w:p>
      <w:r>
        <w:t>La vérification des dépendances est faite avant la confirmation et lors de la suppression. L’application ne propose pas de corbeille ni d’action de restauration pour une fiche supprimée définitivement.</w:t>
      </w:r>
    </w:p>
    <w:p>
      <w:pPr>
        <w:pStyle w:val="Heading2"/>
      </w:pPr>
      <w:r>
        <w:t>Choisir entre suppression et archivage</w:t>
      </w:r>
    </w:p>
    <w:p>
      <w:r>
        <w:t>Utilisez la suppression pour une fiche inutile sans dépendance. Pour un client ayant déjà une activité ou des équipements liés, utilisez l’archivage. Celui-ci conserve la fiche et permet une restauration ultérieure. Ne supprimez pas des accès utilisateurs en pensant archiver leurs clients : il s’agit de deux opérations distinctes.</w:t>
      </w:r>
    </w:p>
    <w:p>
      <w:r>
        <w:br w:type="page"/>
      </w:r>
    </w:p>
    <w:p>
      <w:pPr>
        <w:pStyle w:val="Heading1"/>
      </w:pPr>
      <w:r>
        <w:t>5  Gérer les comptes Starlink</w:t>
      </w:r>
    </w:p>
    <w:p>
      <w:pPr>
        <w:pStyle w:val="Heading2"/>
      </w:pPr>
      <w:r>
        <w:t>Comprendre les liens</w:t>
      </w:r>
    </w:p>
    <w:p>
      <w:r>
        <w:t>Une fiche client peut regrouper plusieurs comptes Starlink. Chaque compte peut contenir plusieurs kits. L’adresse e-mail du compte Starlink sert de référence métier ; elle ne crée pas d’utilisateur AGI et ne donne pas accès au fournisseur Starlink. AGI ne demande pas le mot de passe du compte Starlink.</w:t>
      </w:r>
    </w:p>
    <w:p>
      <w:pPr>
        <w:pStyle w:val="Heading2"/>
      </w:pPr>
      <w:r>
        <w:t>Ajouter un compte</w:t>
      </w:r>
    </w:p>
    <w:p>
      <w:r>
        <w:t>1. Ouvrez « Comptes Starlink » ou ouvrez la fiche du client.</w:t>
      </w:r>
    </w:p>
    <w:p>
      <w:r>
        <w:t>2. Cliquez sur « + Ajouter un compte ».</w:t>
      </w:r>
    </w:p>
    <w:p>
      <w:r>
        <w:t>3. Dans la vue globale, choisissez le client actif concerné. Depuis une fiche client, le rattachement est déjà fixé.</w:t>
      </w:r>
    </w:p>
    <w:p>
      <w:r>
        <w:t>4. Renseignez l’adresse e-mail du compte, puis enregistrez.</w:t>
      </w:r>
    </w:p>
    <w:p>
      <w:r>
        <w:t>5. Vérifiez le rattachement et ajoutez les kits si nécessaire.</w:t>
      </w:r>
    </w:p>
    <w:p>
      <w:r>
        <w:t>L’adresse doit être valide et unique parmi tous les comptes Starlink enregistrés, y compris ceux des clients archivés. Elle est normalisée en minuscules et les espaces extérieurs sont retirés. Si une adresse existe déjà, retrouvez le compte correspondant au lieu de créer un doublon.</w:t>
      </w:r>
    </w:p>
    <w:p>
      <w:pPr>
        <w:pStyle w:val="Heading2"/>
      </w:pPr>
      <w:r>
        <w:t>Modifier un compte</w:t>
      </w:r>
    </w:p>
    <w:p>
      <w:r>
        <w:t>Utilisez « Modifier le compte » pour corriger son e-mail. Un compte enregistré ne peut pas être déplacé vers un autre client depuis l’interface. Aucun bouton ne permet de supprimer un compte Starlink enregistré.</w:t>
      </w:r>
    </w:p>
    <w:p>
      <w:pPr>
        <w:pStyle w:val="Heading2"/>
      </w:pPr>
      <w:r>
        <w:t>Rechercher les comptes et leurs kits</w:t>
      </w:r>
    </w:p>
    <w:p>
      <w:r>
        <w:t>La recherche « Client, e-mail, série, localisation, responsable… » retrouve les clients, e-mails de comptes et informations de kits. Elle peut aussi retrouver le statut, les remarques et la date d’installation des kits. Elle ignore les différences de casse et d’accents.</w:t>
      </w:r>
    </w:p>
    <w:p>
      <w:r>
        <w:t>Le filtre « Tous les statuts » peut être remplacé par un statut de kit. Combinez texte et statut pour affiner les résultats. Les totaux présentés dans la section décrivent les comptes et kits de son périmètre ; ne les interprétez pas comme un total financier.</w:t>
      </w:r>
    </w:p>
    <w:p>
      <w:pPr>
        <w:pStyle w:val="Heading2"/>
      </w:pPr>
      <w:r>
        <w:t>Consulter les comptes archivés</w:t>
      </w:r>
    </w:p>
    <w:p>
      <w:r>
        <w:t>La vue globale affiche les comptes des clients actifs. Pour retrouver ceux d’un client archivé, ouvrez « Clients » puis « Clients archivés » et cliquez sur son nom. Ses comptes portent la mention « Archivé — Client archivé ». Les informations restent consultables et modifiables depuis cette fiche. Un compte ajouté à un client archivé reste dans le périmètre archivé.</w:t>
      </w:r>
    </w:p>
    <w:p>
      <w:r>
        <w:br w:type="page"/>
      </w:r>
    </w:p>
    <w:p>
      <w:pPr>
        <w:pStyle w:val="Heading1"/>
      </w:pPr>
      <w:r>
        <w:t>6  Gérer les kits</w:t>
      </w:r>
    </w:p>
    <w:p>
      <w:pPr>
        <w:pStyle w:val="Heading2"/>
      </w:pPr>
      <w:r>
        <w:t>Ajouter et modifier un kit</w:t>
      </w:r>
    </w:p>
    <w:p>
      <w:r>
        <w:t>1. Ouvrez le compte concerné dans « Comptes Starlink » ou dans la fiche client.</w:t>
      </w:r>
    </w:p>
    <w:p>
      <w:r>
        <w:t>2. Cliquez sur « + Ajouter un kit ».</w:t>
      </w:r>
    </w:p>
    <w:p>
      <w:r>
        <w:t>3. Saisissez le numéro de série et complétez les informations disponibles.</w:t>
      </w:r>
    </w:p>
    <w:p>
      <w:r>
        <w:t>4. Choisissez le statut, puis cliquez sur « Enregistrer le kit ».</w:t>
      </w:r>
    </w:p>
    <w:p>
      <w:r>
        <w:t>5. Pour une correction ultérieure, utilisez « Modifier le kit » et enregistrez les nouvelles valeurs.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6480"/>
      </w:tblGrid>
      <w:tr>
        <w:trPr>
          <w:tblHeader/>
        </w:trPr>
        <w:tc>
          <w:tcPr>
            <w:tcW w:type="dxa" w:w="3096"/>
            <w:vAlign w:val="center"/>
            <w:tcMar>
              <w:top w:w="85" w:type="dxa"/>
              <w:left w:w="85" w:type="dxa"/>
              <w:bottom w:w="85" w:type="dxa"/>
              <w:right w:w="85" w:type="dxa"/>
            </w:tcMar>
            <w:shd w:fill="E8EDF3"/>
          </w:tcPr>
          <w:p>
            <w:pPr>
              <w:spacing w:after="40" w:line="252" w:lineRule="auto"/>
            </w:pPr>
            <w:r>
              <w:rPr>
                <w:b/>
                <w:sz w:val="19"/>
              </w:rPr>
              <w:t>Champ</w:t>
            </w:r>
          </w:p>
        </w:tc>
        <w:tc>
          <w:tcPr>
            <w:tcW w:type="dxa" w:w="6480"/>
            <w:vAlign w:val="center"/>
            <w:tcMar>
              <w:top w:w="85" w:type="dxa"/>
              <w:left w:w="85" w:type="dxa"/>
              <w:bottom w:w="85" w:type="dxa"/>
              <w:right w:w="85" w:type="dxa"/>
            </w:tcMar>
            <w:shd w:fill="E8EDF3"/>
          </w:tcPr>
          <w:p>
            <w:pPr>
              <w:spacing w:after="40" w:line="252" w:lineRule="auto"/>
            </w:pPr>
            <w:r>
              <w:rPr>
                <w:b/>
                <w:sz w:val="19"/>
              </w:rPr>
              <w:t>Règle</w:t>
            </w:r>
          </w:p>
        </w:tc>
      </w:tr>
      <w:tr>
        <w:tc>
          <w:tcPr>
            <w:tcW w:type="dxa" w:w="3096"/>
            <w:vAlign w:val="center"/>
            <w:tcMar>
              <w:top w:w="85" w:type="dxa"/>
              <w:left w:w="85" w:type="dxa"/>
              <w:bottom w:w="85" w:type="dxa"/>
              <w:right w:w="85" w:type="dxa"/>
            </w:tcMar>
          </w:tcPr>
          <w:p>
            <w:pPr>
              <w:spacing w:after="40" w:line="252" w:lineRule="auto"/>
            </w:pPr>
            <w:r>
              <w:rPr>
                <w:b w:val="0"/>
                <w:sz w:val="19"/>
              </w:rPr>
              <w:t>Numéro de série</w:t>
            </w:r>
          </w:p>
        </w:tc>
        <w:tc>
          <w:tcPr>
            <w:tcW w:type="dxa" w:w="6480"/>
            <w:vAlign w:val="center"/>
            <w:tcMar>
              <w:top w:w="85" w:type="dxa"/>
              <w:left w:w="85" w:type="dxa"/>
              <w:bottom w:w="85" w:type="dxa"/>
              <w:right w:w="85" w:type="dxa"/>
            </w:tcMar>
          </w:tcPr>
          <w:p>
            <w:pPr>
              <w:spacing w:after="40" w:line="252" w:lineRule="auto"/>
            </w:pPr>
            <w:r>
              <w:rPr>
                <w:b w:val="0"/>
                <w:sz w:val="19"/>
              </w:rPr>
              <w:t>Obligatoire, jusqu’à 120 caractères. Normalisé en majuscules et unique, même parmi les kits archivés.</w:t>
            </w:r>
          </w:p>
        </w:tc>
      </w:tr>
      <w:tr>
        <w:tc>
          <w:tcPr>
            <w:tcW w:type="dxa" w:w="3096"/>
            <w:vAlign w:val="center"/>
            <w:tcMar>
              <w:top w:w="85" w:type="dxa"/>
              <w:left w:w="85" w:type="dxa"/>
              <w:bottom w:w="85" w:type="dxa"/>
              <w:right w:w="85" w:type="dxa"/>
            </w:tcMar>
          </w:tcPr>
          <w:p>
            <w:pPr>
              <w:spacing w:after="40" w:line="252" w:lineRule="auto"/>
            </w:pPr>
            <w:r>
              <w:rPr>
                <w:b w:val="0"/>
                <w:sz w:val="19"/>
              </w:rPr>
              <w:t>Ville / localisation</w:t>
            </w:r>
          </w:p>
        </w:tc>
        <w:tc>
          <w:tcPr>
            <w:tcW w:type="dxa" w:w="6480"/>
            <w:vAlign w:val="center"/>
            <w:tcMar>
              <w:top w:w="85" w:type="dxa"/>
              <w:left w:w="85" w:type="dxa"/>
              <w:bottom w:w="85" w:type="dxa"/>
              <w:right w:w="85" w:type="dxa"/>
            </w:tcMar>
          </w:tcPr>
          <w:p>
            <w:pPr>
              <w:spacing w:after="40" w:line="252" w:lineRule="auto"/>
            </w:pPr>
            <w:r>
              <w:rPr>
                <w:b w:val="0"/>
                <w:sz w:val="19"/>
              </w:rPr>
              <w:t>Facultatif, jusqu’à 240 caractères.</w:t>
            </w:r>
          </w:p>
        </w:tc>
      </w:tr>
      <w:tr>
        <w:tc>
          <w:tcPr>
            <w:tcW w:type="dxa" w:w="3096"/>
            <w:vAlign w:val="center"/>
            <w:tcMar>
              <w:top w:w="85" w:type="dxa"/>
              <w:left w:w="85" w:type="dxa"/>
              <w:bottom w:w="85" w:type="dxa"/>
              <w:right w:w="85" w:type="dxa"/>
            </w:tcMar>
          </w:tcPr>
          <w:p>
            <w:pPr>
              <w:spacing w:after="40" w:line="252" w:lineRule="auto"/>
            </w:pPr>
            <w:r>
              <w:rPr>
                <w:b w:val="0"/>
                <w:sz w:val="19"/>
              </w:rPr>
              <w:t>Date d’installation</w:t>
            </w:r>
          </w:p>
        </w:tc>
        <w:tc>
          <w:tcPr>
            <w:tcW w:type="dxa" w:w="6480"/>
            <w:vAlign w:val="center"/>
            <w:tcMar>
              <w:top w:w="85" w:type="dxa"/>
              <w:left w:w="85" w:type="dxa"/>
              <w:bottom w:w="85" w:type="dxa"/>
              <w:right w:w="85" w:type="dxa"/>
            </w:tcMar>
          </w:tcPr>
          <w:p>
            <w:pPr>
              <w:spacing w:after="40" w:line="252" w:lineRule="auto"/>
            </w:pPr>
            <w:r>
              <w:rPr>
                <w:b w:val="0"/>
                <w:sz w:val="19"/>
              </w:rPr>
              <w:t>Facultative. Si renseignée, elle doit être valide.</w:t>
            </w:r>
          </w:p>
        </w:tc>
      </w:tr>
      <w:tr>
        <w:tc>
          <w:tcPr>
            <w:tcW w:type="dxa" w:w="3096"/>
            <w:vAlign w:val="center"/>
            <w:tcMar>
              <w:top w:w="85" w:type="dxa"/>
              <w:left w:w="85" w:type="dxa"/>
              <w:bottom w:w="85" w:type="dxa"/>
              <w:right w:w="85" w:type="dxa"/>
            </w:tcMar>
          </w:tcPr>
          <w:p>
            <w:pPr>
              <w:spacing w:after="40" w:line="252" w:lineRule="auto"/>
            </w:pPr>
            <w:r>
              <w:rPr>
                <w:b w:val="0"/>
                <w:sz w:val="19"/>
              </w:rPr>
              <w:t>Contact / responsable sur site</w:t>
            </w:r>
          </w:p>
        </w:tc>
        <w:tc>
          <w:tcPr>
            <w:tcW w:type="dxa" w:w="6480"/>
            <w:vAlign w:val="center"/>
            <w:tcMar>
              <w:top w:w="85" w:type="dxa"/>
              <w:left w:w="85" w:type="dxa"/>
              <w:bottom w:w="85" w:type="dxa"/>
              <w:right w:w="85" w:type="dxa"/>
            </w:tcMar>
          </w:tcPr>
          <w:p>
            <w:pPr>
              <w:spacing w:after="40" w:line="252" w:lineRule="auto"/>
            </w:pPr>
            <w:r>
              <w:rPr>
                <w:b w:val="0"/>
                <w:sz w:val="19"/>
              </w:rPr>
              <w:t>Facultatif, jusqu’à 240 caractères.</w:t>
            </w:r>
          </w:p>
        </w:tc>
      </w:tr>
      <w:tr>
        <w:tc>
          <w:tcPr>
            <w:tcW w:type="dxa" w:w="3096"/>
            <w:vAlign w:val="center"/>
            <w:tcMar>
              <w:top w:w="85" w:type="dxa"/>
              <w:left w:w="85" w:type="dxa"/>
              <w:bottom w:w="85" w:type="dxa"/>
              <w:right w:w="85" w:type="dxa"/>
            </w:tcMar>
          </w:tcPr>
          <w:p>
            <w:pPr>
              <w:spacing w:after="40" w:line="252" w:lineRule="auto"/>
            </w:pPr>
            <w:r>
              <w:rPr>
                <w:b w:val="0"/>
                <w:sz w:val="19"/>
              </w:rPr>
              <w:t>Remarques</w:t>
            </w:r>
          </w:p>
        </w:tc>
        <w:tc>
          <w:tcPr>
            <w:tcW w:type="dxa" w:w="6480"/>
            <w:vAlign w:val="center"/>
            <w:tcMar>
              <w:top w:w="85" w:type="dxa"/>
              <w:left w:w="85" w:type="dxa"/>
              <w:bottom w:w="85" w:type="dxa"/>
              <w:right w:w="85" w:type="dxa"/>
            </w:tcMar>
          </w:tcPr>
          <w:p>
            <w:pPr>
              <w:spacing w:after="40" w:line="252" w:lineRule="auto"/>
            </w:pPr>
            <w:r>
              <w:rPr>
                <w:b w:val="0"/>
                <w:sz w:val="19"/>
              </w:rPr>
              <w:t>Facultatives, jusqu’à 2 000 caractères.</w:t>
            </w:r>
          </w:p>
        </w:tc>
      </w:tr>
      <w:tr>
        <w:tc>
          <w:tcPr>
            <w:tcW w:type="dxa" w:w="3096"/>
            <w:vAlign w:val="center"/>
            <w:tcMar>
              <w:top w:w="85" w:type="dxa"/>
              <w:left w:w="85" w:type="dxa"/>
              <w:bottom w:w="85" w:type="dxa"/>
              <w:right w:w="85" w:type="dxa"/>
            </w:tcMar>
          </w:tcPr>
          <w:p>
            <w:pPr>
              <w:spacing w:after="40" w:line="252" w:lineRule="auto"/>
            </w:pPr>
            <w:r>
              <w:rPr>
                <w:b w:val="0"/>
                <w:sz w:val="19"/>
              </w:rPr>
              <w:t>Statut</w:t>
            </w:r>
          </w:p>
        </w:tc>
        <w:tc>
          <w:tcPr>
            <w:tcW w:type="dxa" w:w="6480"/>
            <w:vAlign w:val="center"/>
            <w:tcMar>
              <w:top w:w="85" w:type="dxa"/>
              <w:left w:w="85" w:type="dxa"/>
              <w:bottom w:w="85" w:type="dxa"/>
              <w:right w:w="85" w:type="dxa"/>
            </w:tcMar>
          </w:tcPr>
          <w:p>
            <w:pPr>
              <w:spacing w:after="40" w:line="252" w:lineRule="auto"/>
            </w:pPr>
            <w:r>
              <w:rPr>
                <w:b w:val="0"/>
                <w:sz w:val="19"/>
              </w:rPr>
              <w:t>Choix manuel dans la liste ci-dessous. Valeur initiale : actif.</w:t>
            </w:r>
          </w:p>
        </w:tc>
      </w:tr>
    </w:tbl>
    <w:p/>
    <w:p>
      <w:pPr>
        <w:pStyle w:val="Heading2"/>
      </w:pPr>
      <w:r>
        <w:t>Choisir un statut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6336"/>
      </w:tblGrid>
      <w:tr>
        <w:trPr>
          <w:tblHeader/>
        </w:trPr>
        <w:tc>
          <w:tcPr>
            <w:tcW w:type="dxa" w:w="3240"/>
            <w:vAlign w:val="center"/>
            <w:tcMar>
              <w:top w:w="85" w:type="dxa"/>
              <w:left w:w="85" w:type="dxa"/>
              <w:bottom w:w="85" w:type="dxa"/>
              <w:right w:w="85" w:type="dxa"/>
            </w:tcMar>
            <w:shd w:fill="E8EDF3"/>
          </w:tcPr>
          <w:p>
            <w:pPr>
              <w:spacing w:after="40" w:line="252" w:lineRule="auto"/>
            </w:pPr>
            <w:r>
              <w:rPr>
                <w:b/>
                <w:sz w:val="19"/>
              </w:rPr>
              <w:t>Statut disponible</w:t>
            </w:r>
          </w:p>
        </w:tc>
        <w:tc>
          <w:tcPr>
            <w:tcW w:type="dxa" w:w="6336"/>
            <w:vAlign w:val="center"/>
            <w:tcMar>
              <w:top w:w="85" w:type="dxa"/>
              <w:left w:w="85" w:type="dxa"/>
              <w:bottom w:w="85" w:type="dxa"/>
              <w:right w:w="85" w:type="dxa"/>
            </w:tcMar>
            <w:shd w:fill="E8EDF3"/>
          </w:tcPr>
          <w:p>
            <w:pPr>
              <w:spacing w:after="40" w:line="252" w:lineRule="auto"/>
            </w:pPr>
            <w:r>
              <w:rPr>
                <w:b/>
                <w:sz w:val="19"/>
              </w:rPr>
              <w:t>Utilisation du suivi</w:t>
            </w:r>
          </w:p>
        </w:tc>
      </w:tr>
      <w:tr>
        <w:tc>
          <w:tcPr>
            <w:tcW w:type="dxa" w:w="3240"/>
            <w:vAlign w:val="center"/>
            <w:tcMar>
              <w:top w:w="85" w:type="dxa"/>
              <w:left w:w="85" w:type="dxa"/>
              <w:bottom w:w="85" w:type="dxa"/>
              <w:right w:w="85" w:type="dxa"/>
            </w:tcMar>
          </w:tcPr>
          <w:p>
            <w:pPr>
              <w:spacing w:after="40" w:line="252" w:lineRule="auto"/>
            </w:pPr>
            <w:r>
              <w:rPr>
                <w:b w:val="0"/>
                <w:sz w:val="19"/>
              </w:rPr>
              <w:t>actif</w:t>
            </w:r>
          </w:p>
        </w:tc>
        <w:tc>
          <w:tcPr>
            <w:tcW w:type="dxa" w:w="6336"/>
            <w:vAlign w:val="center"/>
            <w:tcMar>
              <w:top w:w="85" w:type="dxa"/>
              <w:left w:w="85" w:type="dxa"/>
              <w:bottom w:w="85" w:type="dxa"/>
              <w:right w:w="85" w:type="dxa"/>
            </w:tcMar>
          </w:tcPr>
          <w:p>
            <w:pPr>
              <w:spacing w:after="40" w:line="252" w:lineRule="auto"/>
            </w:pPr>
            <w:r>
              <w:rPr>
                <w:b w:val="0"/>
                <w:sz w:val="19"/>
              </w:rPr>
              <w:t>Kit déclaré actif par l’équipe.</w:t>
            </w:r>
          </w:p>
        </w:tc>
      </w:tr>
      <w:tr>
        <w:tc>
          <w:tcPr>
            <w:tcW w:type="dxa" w:w="3240"/>
            <w:vAlign w:val="center"/>
            <w:tcMar>
              <w:top w:w="85" w:type="dxa"/>
              <w:left w:w="85" w:type="dxa"/>
              <w:bottom w:w="85" w:type="dxa"/>
              <w:right w:w="85" w:type="dxa"/>
            </w:tcMar>
          </w:tcPr>
          <w:p>
            <w:pPr>
              <w:spacing w:after="40" w:line="252" w:lineRule="auto"/>
            </w:pPr>
            <w:r>
              <w:rPr>
                <w:b w:val="0"/>
                <w:sz w:val="19"/>
              </w:rPr>
              <w:t>suspendu</w:t>
            </w:r>
          </w:p>
        </w:tc>
        <w:tc>
          <w:tcPr>
            <w:tcW w:type="dxa" w:w="6336"/>
            <w:vAlign w:val="center"/>
            <w:tcMar>
              <w:top w:w="85" w:type="dxa"/>
              <w:left w:w="85" w:type="dxa"/>
              <w:bottom w:w="85" w:type="dxa"/>
              <w:right w:w="85" w:type="dxa"/>
            </w:tcMar>
          </w:tcPr>
          <w:p>
            <w:pPr>
              <w:spacing w:after="40" w:line="252" w:lineRule="auto"/>
            </w:pPr>
            <w:r>
              <w:rPr>
                <w:b w:val="0"/>
                <w:sz w:val="19"/>
              </w:rPr>
              <w:t>Kit déclaré suspendu.</w:t>
            </w:r>
          </w:p>
        </w:tc>
      </w:tr>
      <w:tr>
        <w:tc>
          <w:tcPr>
            <w:tcW w:type="dxa" w:w="3240"/>
            <w:vAlign w:val="center"/>
            <w:tcMar>
              <w:top w:w="85" w:type="dxa"/>
              <w:left w:w="85" w:type="dxa"/>
              <w:bottom w:w="85" w:type="dxa"/>
              <w:right w:w="85" w:type="dxa"/>
            </w:tcMar>
          </w:tcPr>
          <w:p>
            <w:pPr>
              <w:spacing w:after="40" w:line="252" w:lineRule="auto"/>
            </w:pPr>
            <w:r>
              <w:rPr>
                <w:b w:val="0"/>
                <w:sz w:val="19"/>
              </w:rPr>
              <w:t>en panne</w:t>
            </w:r>
          </w:p>
        </w:tc>
        <w:tc>
          <w:tcPr>
            <w:tcW w:type="dxa" w:w="6336"/>
            <w:vAlign w:val="center"/>
            <w:tcMar>
              <w:top w:w="85" w:type="dxa"/>
              <w:left w:w="85" w:type="dxa"/>
              <w:bottom w:w="85" w:type="dxa"/>
              <w:right w:w="85" w:type="dxa"/>
            </w:tcMar>
          </w:tcPr>
          <w:p>
            <w:pPr>
              <w:spacing w:after="40" w:line="252" w:lineRule="auto"/>
            </w:pPr>
            <w:r>
              <w:rPr>
                <w:b w:val="0"/>
                <w:sz w:val="19"/>
              </w:rPr>
              <w:t>Kit signalé en panne.</w:t>
            </w:r>
          </w:p>
        </w:tc>
      </w:tr>
      <w:tr>
        <w:tc>
          <w:tcPr>
            <w:tcW w:type="dxa" w:w="3240"/>
            <w:vAlign w:val="center"/>
            <w:tcMar>
              <w:top w:w="85" w:type="dxa"/>
              <w:left w:w="85" w:type="dxa"/>
              <w:bottom w:w="85" w:type="dxa"/>
              <w:right w:w="85" w:type="dxa"/>
            </w:tcMar>
          </w:tcPr>
          <w:p>
            <w:pPr>
              <w:spacing w:after="40" w:line="252" w:lineRule="auto"/>
            </w:pPr>
            <w:r>
              <w:rPr>
                <w:b w:val="0"/>
                <w:sz w:val="19"/>
              </w:rPr>
              <w:t>en attente d’installation</w:t>
            </w:r>
          </w:p>
        </w:tc>
        <w:tc>
          <w:tcPr>
            <w:tcW w:type="dxa" w:w="6336"/>
            <w:vAlign w:val="center"/>
            <w:tcMar>
              <w:top w:w="85" w:type="dxa"/>
              <w:left w:w="85" w:type="dxa"/>
              <w:bottom w:w="85" w:type="dxa"/>
              <w:right w:w="85" w:type="dxa"/>
            </w:tcMar>
          </w:tcPr>
          <w:p>
            <w:pPr>
              <w:spacing w:after="40" w:line="252" w:lineRule="auto"/>
            </w:pPr>
            <w:r>
              <w:rPr>
                <w:b w:val="0"/>
                <w:sz w:val="19"/>
              </w:rPr>
              <w:t>Kit dont l’installation reste à effectuer.</w:t>
            </w:r>
          </w:p>
        </w:tc>
      </w:tr>
      <w:tr>
        <w:tc>
          <w:tcPr>
            <w:tcW w:type="dxa" w:w="3240"/>
            <w:vAlign w:val="center"/>
            <w:tcMar>
              <w:top w:w="85" w:type="dxa"/>
              <w:left w:w="85" w:type="dxa"/>
              <w:bottom w:w="85" w:type="dxa"/>
              <w:right w:w="85" w:type="dxa"/>
            </w:tcMar>
          </w:tcPr>
          <w:p>
            <w:pPr>
              <w:spacing w:after="40" w:line="252" w:lineRule="auto"/>
            </w:pPr>
            <w:r>
              <w:rPr>
                <w:b w:val="0"/>
                <w:sz w:val="19"/>
              </w:rPr>
              <w:t>retiré</w:t>
            </w:r>
          </w:p>
        </w:tc>
        <w:tc>
          <w:tcPr>
            <w:tcW w:type="dxa" w:w="6336"/>
            <w:vAlign w:val="center"/>
            <w:tcMar>
              <w:top w:w="85" w:type="dxa"/>
              <w:left w:w="85" w:type="dxa"/>
              <w:bottom w:w="85" w:type="dxa"/>
              <w:right w:w="85" w:type="dxa"/>
            </w:tcMar>
          </w:tcPr>
          <w:p>
            <w:pPr>
              <w:spacing w:after="40" w:line="252" w:lineRule="auto"/>
            </w:pPr>
            <w:r>
              <w:rPr>
                <w:b w:val="0"/>
                <w:sz w:val="19"/>
              </w:rPr>
              <w:t>Kit déclaré retiré, dont la fiche reste conservée.</w:t>
            </w:r>
          </w:p>
        </w:tc>
      </w:tr>
    </w:tbl>
    <w:p/>
    <w:p>
      <w:r>
        <w:t>Ces statuts sont des indications saisies par l’équipe. Les modifier ne commande ni mise en service, ni suspension, ni dépannage chez Starlink. Le statut « retiré » ne supprime pas la fiche.</w:t>
      </w:r>
    </w:p>
    <w:p>
      <w:r>
        <w:t>Un kit enregistré ne peut pas être déplacé vers un autre compte via l’interface. Il n’existe pas d’action de suppression d’un kit enregistré. L’archivage d’un client masque ses kits de la vue globale, mais conserve leur statut technique pour une consultation ou une restauration ultérieure.</w:t>
      </w:r>
    </w:p>
    <w:p>
      <w:r>
        <w:br w:type="page"/>
      </w:r>
    </w:p>
    <w:p>
      <w:pPr>
        <w:pStyle w:val="Heading1"/>
      </w:pPr>
      <w:r>
        <w:t>7  Enregistrer et consulter les paiements</w:t>
      </w:r>
    </w:p>
    <w:p>
      <w:pPr>
        <w:pStyle w:val="Heading2"/>
      </w:pPr>
      <w:r>
        <w:t>Saisir un paiement reçu</w:t>
      </w:r>
    </w:p>
    <w:p>
      <w:r>
        <w:t>1. Dans « Clients actifs », cliquez sur « Encaisser » pour le client concerné.</w:t>
      </w:r>
    </w:p>
    <w:p>
      <w:r>
        <w:t>2. Dans « Enregistrer un paiement », vérifiez le nom du client et la devise.</w:t>
      </w:r>
    </w:p>
    <w:p>
      <w:r>
        <w:t>3. Saisissez le montant reçu. Le tarif mensuel est proposé par défaut, mais le montant peut être différent.</w:t>
      </w:r>
    </w:p>
    <w:p>
      <w:r>
        <w:t>4. Vérifiez la date du paiement, initialement positionnée sur la date du jour.</w:t>
      </w:r>
    </w:p>
    <w:p>
      <w:r>
        <w:t>5. Choisissez la « Nouvelle échéance ». Elle est initialement celle du client : AGI n’ajoute pas automatiquement un mois.</w:t>
      </w:r>
    </w:p>
    <w:p>
      <w:r>
        <w:t>6. Sélectionnez le moyen de paiement et cliquez sur « Confirmer le paiement ».</w:t>
      </w:r>
    </w:p>
    <w:p>
      <w:r>
        <w:t>Le montant doit être strictement positif. La devise est celle du client et n’est pas librement choisie dans cette fenêtre. La nouvelle échéance doit être une date valide, égale ou postérieure à l’échéance actuelle. La confirmation enregistre le paiement et met à jour l’échéance du client.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272"/>
      </w:tblGrid>
      <w:tr>
        <w:trPr>
          <w:tblHeader/>
        </w:trPr>
        <w:tc>
          <w:tcPr>
            <w:tcW w:type="dxa" w:w="2304"/>
            <w:vAlign w:val="center"/>
            <w:tcMar>
              <w:top w:w="85" w:type="dxa"/>
              <w:left w:w="85" w:type="dxa"/>
              <w:bottom w:w="85" w:type="dxa"/>
              <w:right w:w="85" w:type="dxa"/>
            </w:tcMar>
            <w:shd w:fill="E8EDF3"/>
          </w:tcPr>
          <w:p>
            <w:pPr>
              <w:spacing w:after="40" w:line="252" w:lineRule="auto"/>
            </w:pPr>
            <w:r>
              <w:rPr>
                <w:b/>
                <w:sz w:val="19"/>
              </w:rPr>
              <w:t>Moyens proposés</w:t>
            </w:r>
          </w:p>
        </w:tc>
        <w:tc>
          <w:tcPr>
            <w:tcW w:type="dxa" w:w="7272"/>
            <w:vAlign w:val="center"/>
            <w:tcMar>
              <w:top w:w="85" w:type="dxa"/>
              <w:left w:w="85" w:type="dxa"/>
              <w:bottom w:w="85" w:type="dxa"/>
              <w:right w:w="85" w:type="dxa"/>
            </w:tcMar>
            <w:shd w:fill="E8EDF3"/>
          </w:tcPr>
          <w:p>
            <w:pPr>
              <w:spacing w:after="40" w:line="252" w:lineRule="auto"/>
            </w:pPr>
            <w:r>
              <w:rPr>
                <w:b/>
                <w:sz w:val="19"/>
              </w:rPr>
              <w:t>Nature de l’opération</w:t>
            </w:r>
          </w:p>
        </w:tc>
      </w:tr>
      <w:tr>
        <w:tc>
          <w:tcPr>
            <w:tcW w:type="dxa" w:w="2304"/>
            <w:vAlign w:val="center"/>
            <w:tcMar>
              <w:top w:w="85" w:type="dxa"/>
              <w:left w:w="85" w:type="dxa"/>
              <w:bottom w:w="85" w:type="dxa"/>
              <w:right w:w="85" w:type="dxa"/>
            </w:tcMar>
          </w:tcPr>
          <w:p>
            <w:pPr>
              <w:spacing w:after="40" w:line="252" w:lineRule="auto"/>
            </w:pPr>
            <w:r>
              <w:rPr>
                <w:b w:val="0"/>
                <w:sz w:val="19"/>
              </w:rPr>
              <w:t>Espèces</w:t>
            </w:r>
          </w:p>
        </w:tc>
        <w:tc>
          <w:tcPr>
            <w:tcW w:type="dxa" w:w="7272"/>
            <w:vAlign w:val="center"/>
            <w:tcMar>
              <w:top w:w="85" w:type="dxa"/>
              <w:left w:w="85" w:type="dxa"/>
              <w:bottom w:w="85" w:type="dxa"/>
              <w:right w:w="85" w:type="dxa"/>
            </w:tcMar>
          </w:tcPr>
          <w:p>
            <w:pPr>
              <w:spacing w:after="40" w:line="252" w:lineRule="auto"/>
            </w:pPr>
            <w:r>
              <w:rPr>
                <w:b w:val="0"/>
                <w:sz w:val="19"/>
              </w:rPr>
              <w:t>Enregistrement manuel d’une somme reçue.</w:t>
            </w:r>
          </w:p>
        </w:tc>
      </w:tr>
      <w:tr>
        <w:tc>
          <w:tcPr>
            <w:tcW w:type="dxa" w:w="2304"/>
            <w:vAlign w:val="center"/>
            <w:tcMar>
              <w:top w:w="85" w:type="dxa"/>
              <w:left w:w="85" w:type="dxa"/>
              <w:bottom w:w="85" w:type="dxa"/>
              <w:right w:w="85" w:type="dxa"/>
            </w:tcMar>
          </w:tcPr>
          <w:p>
            <w:pPr>
              <w:spacing w:after="40" w:line="252" w:lineRule="auto"/>
            </w:pPr>
            <w:r>
              <w:rPr>
                <w:b w:val="0"/>
                <w:sz w:val="19"/>
              </w:rPr>
              <w:t>Mobile Money</w:t>
            </w:r>
          </w:p>
        </w:tc>
        <w:tc>
          <w:tcPr>
            <w:tcW w:type="dxa" w:w="7272"/>
            <w:vAlign w:val="center"/>
            <w:tcMar>
              <w:top w:w="85" w:type="dxa"/>
              <w:left w:w="85" w:type="dxa"/>
              <w:bottom w:w="85" w:type="dxa"/>
              <w:right w:w="85" w:type="dxa"/>
            </w:tcMar>
          </w:tcPr>
          <w:p>
            <w:pPr>
              <w:spacing w:after="40" w:line="252" w:lineRule="auto"/>
            </w:pPr>
            <w:r>
              <w:rPr>
                <w:b w:val="0"/>
                <w:sz w:val="19"/>
              </w:rPr>
              <w:t>Enregistrement manuel ; aucun transfert déclenché.</w:t>
            </w:r>
          </w:p>
        </w:tc>
      </w:tr>
      <w:tr>
        <w:tc>
          <w:tcPr>
            <w:tcW w:type="dxa" w:w="2304"/>
            <w:vAlign w:val="center"/>
            <w:tcMar>
              <w:top w:w="85" w:type="dxa"/>
              <w:left w:w="85" w:type="dxa"/>
              <w:bottom w:w="85" w:type="dxa"/>
              <w:right w:w="85" w:type="dxa"/>
            </w:tcMar>
          </w:tcPr>
          <w:p>
            <w:pPr>
              <w:spacing w:after="40" w:line="252" w:lineRule="auto"/>
            </w:pPr>
            <w:r>
              <w:rPr>
                <w:b w:val="0"/>
                <w:sz w:val="19"/>
              </w:rPr>
              <w:t>Virement</w:t>
            </w:r>
          </w:p>
        </w:tc>
        <w:tc>
          <w:tcPr>
            <w:tcW w:type="dxa" w:w="7272"/>
            <w:vAlign w:val="center"/>
            <w:tcMar>
              <w:top w:w="85" w:type="dxa"/>
              <w:left w:w="85" w:type="dxa"/>
              <w:bottom w:w="85" w:type="dxa"/>
              <w:right w:w="85" w:type="dxa"/>
            </w:tcMar>
          </w:tcPr>
          <w:p>
            <w:pPr>
              <w:spacing w:after="40" w:line="252" w:lineRule="auto"/>
            </w:pPr>
            <w:r>
              <w:rPr>
                <w:b w:val="0"/>
                <w:sz w:val="19"/>
              </w:rPr>
              <w:t>Enregistrement manuel ; aucune opération bancaire déclenchée.</w:t>
            </w:r>
          </w:p>
        </w:tc>
      </w:tr>
      <w:tr>
        <w:tc>
          <w:tcPr>
            <w:tcW w:type="dxa" w:w="2304"/>
            <w:vAlign w:val="center"/>
            <w:tcMar>
              <w:top w:w="85" w:type="dxa"/>
              <w:left w:w="85" w:type="dxa"/>
              <w:bottom w:w="85" w:type="dxa"/>
              <w:right w:w="85" w:type="dxa"/>
            </w:tcMar>
          </w:tcPr>
          <w:p>
            <w:pPr>
              <w:spacing w:after="40" w:line="252" w:lineRule="auto"/>
            </w:pPr>
            <w:r>
              <w:rPr>
                <w:b w:val="0"/>
                <w:sz w:val="19"/>
              </w:rPr>
              <w:t>Carte</w:t>
            </w:r>
          </w:p>
        </w:tc>
        <w:tc>
          <w:tcPr>
            <w:tcW w:type="dxa" w:w="7272"/>
            <w:vAlign w:val="center"/>
            <w:tcMar>
              <w:top w:w="85" w:type="dxa"/>
              <w:left w:w="85" w:type="dxa"/>
              <w:bottom w:w="85" w:type="dxa"/>
              <w:right w:w="85" w:type="dxa"/>
            </w:tcMar>
          </w:tcPr>
          <w:p>
            <w:pPr>
              <w:spacing w:after="40" w:line="252" w:lineRule="auto"/>
            </w:pPr>
            <w:r>
              <w:rPr>
                <w:b w:val="0"/>
                <w:sz w:val="19"/>
              </w:rPr>
              <w:t>Enregistrement manuel ; aucun paiement carte exécuté.</w:t>
            </w:r>
          </w:p>
        </w:tc>
      </w:tr>
      <w:tr>
        <w:tc>
          <w:tcPr>
            <w:tcW w:type="dxa" w:w="2304"/>
            <w:vAlign w:val="center"/>
            <w:tcMar>
              <w:top w:w="85" w:type="dxa"/>
              <w:left w:w="85" w:type="dxa"/>
              <w:bottom w:w="85" w:type="dxa"/>
              <w:right w:w="85" w:type="dxa"/>
            </w:tcMar>
          </w:tcPr>
          <w:p>
            <w:pPr>
              <w:spacing w:after="40" w:line="252" w:lineRule="auto"/>
            </w:pPr>
            <w:r>
              <w:rPr>
                <w:b w:val="0"/>
                <w:sz w:val="19"/>
              </w:rPr>
              <w:t>Autre</w:t>
            </w:r>
          </w:p>
        </w:tc>
        <w:tc>
          <w:tcPr>
            <w:tcW w:type="dxa" w:w="7272"/>
            <w:vAlign w:val="center"/>
            <w:tcMar>
              <w:top w:w="85" w:type="dxa"/>
              <w:left w:w="85" w:type="dxa"/>
              <w:bottom w:w="85" w:type="dxa"/>
              <w:right w:w="85" w:type="dxa"/>
            </w:tcMar>
          </w:tcPr>
          <w:p>
            <w:pPr>
              <w:spacing w:after="40" w:line="252" w:lineRule="auto"/>
            </w:pPr>
            <w:r>
              <w:rPr>
                <w:b w:val="0"/>
                <w:sz w:val="19"/>
              </w:rPr>
              <w:t>Enregistrement d’un autre moyen de règlement.</w:t>
            </w:r>
          </w:p>
        </w:tc>
      </w:tr>
    </w:tbl>
    <w:p/>
    <w:p>
      <w:pPr>
        <w:pStyle w:val="Heading2"/>
      </w:pPr>
      <w:r>
        <w:t>Lire l’historique</w:t>
      </w:r>
    </w:p>
    <w:p>
      <w:r>
        <w:t>Ouvrez « Paiements ». « Historique des paiements » affiche la date, le client, le montant, le moyen de paiement et la nouvelle échéance. Les paiements sont classés par date décroissante, puis par enregistrement récent à date identique. Le compteur indique leur nombre.</w:t>
      </w:r>
    </w:p>
    <w:p>
      <w:r>
        <w:t>Les paiements d’un client archivé restent visibles avec la mention « Client archivé ». Après restauration, cette mention disparaît : elle traduit l’état actuel du client, et non une annotation définitive du paiement.</w:t>
      </w:r>
    </w:p>
    <w:p>
      <w:pPr>
        <w:pStyle w:val="Heading2"/>
      </w:pPr>
      <w:r>
        <w:t>Éviter et traiter les erreurs</w:t>
      </w:r>
    </w:p>
    <w:p>
      <w:r>
        <w:t>Vérifiez les données avant de confirmer. Si la réponse tarde ou si une erreur réseau apparaît, consultez l’historique avant de saisir de nouveau le paiement. L’interface ne propose ni modification ni suppression de paiement, ni remboursement. En cas d’erreur, signalez les informations au responsable AGI ; ne créez pas un paiement négatif ou un doublon pour tenter de corriger le premier.</w:t>
      </w:r>
    </w:p>
    <w:p>
      <w:r>
        <w:t>« Encaisser » est indisponible pour les clients archivés. Restaurez d’abord le client si une reprise d’activité justifie une nouvelle saisie.</w:t>
      </w:r>
    </w:p>
    <w:p>
      <w:r>
        <w:br w:type="page"/>
      </w:r>
    </w:p>
    <w:p>
      <w:pPr>
        <w:pStyle w:val="Heading1"/>
      </w:pPr>
      <w:r>
        <w:t>8  Archiver et restaurer</w:t>
      </w:r>
    </w:p>
    <w:p>
      <w:pPr>
        <w:pStyle w:val="Heading2"/>
      </w:pPr>
      <w:r>
        <w:t>Archiver un client</w:t>
      </w:r>
    </w:p>
    <w:p>
      <w:r>
        <w:t>1. Dans « Clients actifs », recherchez le client et ouvrez « Modifier le client ».</w:t>
      </w:r>
    </w:p>
    <w:p>
      <w:r>
        <w:t>2. Cochez « Archiver ce client (conserver son historique) ».</w:t>
      </w:r>
    </w:p>
    <w:p>
      <w:r>
        <w:t>3. Enregistrez la fiche.</w:t>
      </w:r>
    </w:p>
    <w:p>
      <w:r>
        <w:t>4. Ouvrez « Clients archivés » pour vérifier sa présence.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6552"/>
      </w:tblGrid>
      <w:tr>
        <w:trPr>
          <w:tblHeader/>
        </w:trPr>
        <w:tc>
          <w:tcPr>
            <w:tcW w:type="dxa" w:w="3024"/>
            <w:vAlign w:val="center"/>
            <w:tcMar>
              <w:top w:w="85" w:type="dxa"/>
              <w:left w:w="85" w:type="dxa"/>
              <w:bottom w:w="85" w:type="dxa"/>
              <w:right w:w="85" w:type="dxa"/>
            </w:tcMar>
            <w:shd w:fill="E8EDF3"/>
          </w:tcPr>
          <w:p>
            <w:pPr>
              <w:spacing w:after="40" w:line="252" w:lineRule="auto"/>
            </w:pPr>
            <w:r>
              <w:rPr>
                <w:b/>
                <w:sz w:val="19"/>
              </w:rPr>
              <w:t>Élément</w:t>
            </w:r>
          </w:p>
        </w:tc>
        <w:tc>
          <w:tcPr>
            <w:tcW w:type="dxa" w:w="6552"/>
            <w:vAlign w:val="center"/>
            <w:tcMar>
              <w:top w:w="85" w:type="dxa"/>
              <w:left w:w="85" w:type="dxa"/>
              <w:bottom w:w="85" w:type="dxa"/>
              <w:right w:w="85" w:type="dxa"/>
            </w:tcMar>
            <w:shd w:fill="E8EDF3"/>
          </w:tcPr>
          <w:p>
            <w:pPr>
              <w:spacing w:after="40" w:line="252" w:lineRule="auto"/>
            </w:pPr>
            <w:r>
              <w:rPr>
                <w:b/>
                <w:sz w:val="19"/>
              </w:rPr>
              <w:t>Effet de l’archivage</w:t>
            </w:r>
          </w:p>
        </w:tc>
      </w:tr>
      <w:tr>
        <w:tc>
          <w:tcPr>
            <w:tcW w:type="dxa" w:w="3024"/>
            <w:vAlign w:val="center"/>
            <w:tcMar>
              <w:top w:w="85" w:type="dxa"/>
              <w:left w:w="85" w:type="dxa"/>
              <w:bottom w:w="85" w:type="dxa"/>
              <w:right w:w="85" w:type="dxa"/>
            </w:tcMar>
          </w:tcPr>
          <w:p>
            <w:pPr>
              <w:spacing w:after="40" w:line="252" w:lineRule="auto"/>
            </w:pPr>
            <w:r>
              <w:rPr>
                <w:b w:val="0"/>
                <w:sz w:val="19"/>
              </w:rPr>
              <w:t>Client</w:t>
            </w:r>
          </w:p>
        </w:tc>
        <w:tc>
          <w:tcPr>
            <w:tcW w:type="dxa" w:w="6552"/>
            <w:vAlign w:val="center"/>
            <w:tcMar>
              <w:top w:w="85" w:type="dxa"/>
              <w:left w:w="85" w:type="dxa"/>
              <w:bottom w:w="85" w:type="dxa"/>
              <w:right w:w="85" w:type="dxa"/>
            </w:tcMar>
          </w:tcPr>
          <w:p>
            <w:pPr>
              <w:spacing w:after="40" w:line="252" w:lineRule="auto"/>
            </w:pPr>
            <w:r>
              <w:rPr>
                <w:b w:val="0"/>
                <w:sz w:val="19"/>
              </w:rPr>
              <w:t>Retiré de la liste active et des indicateurs de suivi des clients actifs.</w:t>
            </w:r>
          </w:p>
        </w:tc>
      </w:tr>
      <w:tr>
        <w:tc>
          <w:tcPr>
            <w:tcW w:type="dxa" w:w="3024"/>
            <w:vAlign w:val="center"/>
            <w:tcMar>
              <w:top w:w="85" w:type="dxa"/>
              <w:left w:w="85" w:type="dxa"/>
              <w:bottom w:w="85" w:type="dxa"/>
              <w:right w:w="85" w:type="dxa"/>
            </w:tcMar>
          </w:tcPr>
          <w:p>
            <w:pPr>
              <w:spacing w:after="40" w:line="252" w:lineRule="auto"/>
            </w:pPr>
            <w:r>
              <w:rPr>
                <w:b w:val="0"/>
                <w:sz w:val="19"/>
              </w:rPr>
              <w:t>Comptes et kits liés</w:t>
            </w:r>
          </w:p>
        </w:tc>
        <w:tc>
          <w:tcPr>
            <w:tcW w:type="dxa" w:w="6552"/>
            <w:vAlign w:val="center"/>
            <w:tcMar>
              <w:top w:w="85" w:type="dxa"/>
              <w:left w:w="85" w:type="dxa"/>
              <w:bottom w:w="85" w:type="dxa"/>
              <w:right w:w="85" w:type="dxa"/>
            </w:tcMar>
          </w:tcPr>
          <w:p>
            <w:pPr>
              <w:spacing w:after="40" w:line="252" w:lineRule="auto"/>
            </w:pPr>
            <w:r>
              <w:rPr>
                <w:b w:val="0"/>
                <w:sz w:val="19"/>
              </w:rPr>
              <w:t>Retirés de la vue globale des comptes actifs et de sa recherche.</w:t>
            </w:r>
          </w:p>
        </w:tc>
      </w:tr>
      <w:tr>
        <w:tc>
          <w:tcPr>
            <w:tcW w:type="dxa" w:w="3024"/>
            <w:vAlign w:val="center"/>
            <w:tcMar>
              <w:top w:w="85" w:type="dxa"/>
              <w:left w:w="85" w:type="dxa"/>
              <w:bottom w:w="85" w:type="dxa"/>
              <w:right w:w="85" w:type="dxa"/>
            </w:tcMar>
          </w:tcPr>
          <w:p>
            <w:pPr>
              <w:spacing w:after="40" w:line="252" w:lineRule="auto"/>
            </w:pPr>
            <w:r>
              <w:rPr>
                <w:b w:val="0"/>
                <w:sz w:val="19"/>
              </w:rPr>
              <w:t>Historique des paiements</w:t>
            </w:r>
          </w:p>
        </w:tc>
        <w:tc>
          <w:tcPr>
            <w:tcW w:type="dxa" w:w="6552"/>
            <w:vAlign w:val="center"/>
            <w:tcMar>
              <w:top w:w="85" w:type="dxa"/>
              <w:left w:w="85" w:type="dxa"/>
              <w:bottom w:w="85" w:type="dxa"/>
              <w:right w:w="85" w:type="dxa"/>
            </w:tcMar>
          </w:tcPr>
          <w:p>
            <w:pPr>
              <w:spacing w:after="40" w:line="252" w:lineRule="auto"/>
            </w:pPr>
            <w:r>
              <w:rPr>
                <w:b w:val="0"/>
                <w:sz w:val="19"/>
              </w:rPr>
              <w:t>Conservé dans « Paiements » avec « Client archivé ».</w:t>
            </w:r>
          </w:p>
        </w:tc>
      </w:tr>
      <w:tr>
        <w:tc>
          <w:tcPr>
            <w:tcW w:type="dxa" w:w="3024"/>
            <w:vAlign w:val="center"/>
            <w:tcMar>
              <w:top w:w="85" w:type="dxa"/>
              <w:left w:w="85" w:type="dxa"/>
              <w:bottom w:w="85" w:type="dxa"/>
              <w:right w:w="85" w:type="dxa"/>
            </w:tcMar>
          </w:tcPr>
          <w:p>
            <w:pPr>
              <w:spacing w:after="40" w:line="252" w:lineRule="auto"/>
            </w:pPr>
            <w:r>
              <w:rPr>
                <w:b w:val="0"/>
                <w:sz w:val="19"/>
              </w:rPr>
              <w:t>Fiche et informations liées</w:t>
            </w:r>
          </w:p>
        </w:tc>
        <w:tc>
          <w:tcPr>
            <w:tcW w:type="dxa" w:w="6552"/>
            <w:vAlign w:val="center"/>
            <w:tcMar>
              <w:top w:w="85" w:type="dxa"/>
              <w:left w:w="85" w:type="dxa"/>
              <w:bottom w:w="85" w:type="dxa"/>
              <w:right w:w="85" w:type="dxa"/>
            </w:tcMar>
          </w:tcPr>
          <w:p>
            <w:pPr>
              <w:spacing w:after="40" w:line="252" w:lineRule="auto"/>
            </w:pPr>
            <w:r>
              <w:rPr>
                <w:b w:val="0"/>
                <w:sz w:val="19"/>
              </w:rPr>
              <w:t>Conservées et accessibles par « Clients archivés ».</w:t>
            </w:r>
          </w:p>
        </w:tc>
      </w:tr>
      <w:tr>
        <w:tc>
          <w:tcPr>
            <w:tcW w:type="dxa" w:w="3024"/>
            <w:vAlign w:val="center"/>
            <w:tcMar>
              <w:top w:w="85" w:type="dxa"/>
              <w:left w:w="85" w:type="dxa"/>
              <w:bottom w:w="85" w:type="dxa"/>
              <w:right w:w="85" w:type="dxa"/>
            </w:tcMar>
          </w:tcPr>
          <w:p>
            <w:pPr>
              <w:spacing w:after="40" w:line="252" w:lineRule="auto"/>
            </w:pPr>
            <w:r>
              <w:rPr>
                <w:b w:val="0"/>
                <w:sz w:val="19"/>
              </w:rPr>
              <w:t>Échéance et statuts des kits</w:t>
            </w:r>
          </w:p>
        </w:tc>
        <w:tc>
          <w:tcPr>
            <w:tcW w:type="dxa" w:w="6552"/>
            <w:vAlign w:val="center"/>
            <w:tcMar>
              <w:top w:w="85" w:type="dxa"/>
              <w:left w:w="85" w:type="dxa"/>
              <w:bottom w:w="85" w:type="dxa"/>
              <w:right w:w="85" w:type="dxa"/>
            </w:tcMar>
          </w:tcPr>
          <w:p>
            <w:pPr>
              <w:spacing w:after="40" w:line="252" w:lineRule="auto"/>
            </w:pPr>
            <w:r>
              <w:rPr>
                <w:b w:val="0"/>
                <w:sz w:val="19"/>
              </w:rPr>
              <w:t>Conservés sans remise à zéro ni modification automatique.</w:t>
            </w:r>
          </w:p>
        </w:tc>
      </w:tr>
    </w:tbl>
    <w:p/>
    <w:p>
      <w:pPr>
        <w:pStyle w:val="Heading2"/>
      </w:pPr>
      <w:r>
        <w:t>Consulter les archives</w:t>
      </w:r>
    </w:p>
    <w:p>
      <w:r>
        <w:t>Dans « Clients », choisissez « Clients archivés ». La recherche reste disponible. Cliquez sur le nom du client pour consulter sa fiche et ses comptes. Les comptes et kits restent modifiables depuis cette fiche ; l’archivage ne transforme donc pas l’ensemble de la fiche en lecture seule. Les paiements se consultent dans la section « Paiements ».</w:t>
      </w:r>
    </w:p>
    <w:p>
      <w:pPr>
        <w:pStyle w:val="Heading2"/>
      </w:pPr>
      <w:r>
        <w:t>Restaurer un client</w:t>
      </w:r>
    </w:p>
    <w:p>
      <w:r>
        <w:t>1. Dans « Clients archivés », recherchez le client.</w:t>
      </w:r>
    </w:p>
    <w:p>
      <w:r>
        <w:t>2. Cliquez sur « Restaurer » dans sa ligne.</w:t>
      </w:r>
    </w:p>
    <w:p>
      <w:r>
        <w:t>3. Attendez le message « Client et comptes Starlink restaurés. ».</w:t>
      </w:r>
    </w:p>
    <w:p>
      <w:r>
        <w:t>4. Vérifiez sa présence dans « Clients actifs » et celle de ses comptes dans « Comptes Starlink ».</w:t>
      </w:r>
    </w:p>
    <w:p>
      <w:r>
        <w:t>Il est également possible d’ouvrir la modification de la fiche, de décocher l’archivage et d’enregistrer. La restauration remet le client et ses comptes dans les listes actives. Elle conserve les paiements, l’échéance et les statuts des kits. Si l’échéance est dépassée, le client restauré réapparaît aussitôt parmi les clients à renouveler.</w:t>
      </w:r>
    </w:p>
    <w:p>
      <w:r>
        <w:t>L’archivage et la restauration portent sur le suivi dans AGI. Ils ne suspendent ni ne réactivent un abonnement chez Starlink. Un kit qui était « en panne » avant l’archivage reste « en panne » après restauration.</w:t>
      </w:r>
    </w:p>
    <w:p>
      <w:r>
        <w:br w:type="page"/>
      </w:r>
    </w:p>
    <w:p>
      <w:pPr>
        <w:pStyle w:val="Heading1"/>
      </w:pPr>
      <w:r>
        <w:t>9  Créer et gérer les utilisateurs</w:t>
      </w:r>
    </w:p>
    <w:p>
      <w:r>
        <w:t>Cette section est réservée à l’administrateur. Ouvrez « Utilisateurs » pour afficher « Utilisateurs et accès ». Un accès utilisateur AGI sert à se connecter à l’application ; il est distinct d’une fiche client et d’un compte Starlink.</w:t>
      </w:r>
    </w:p>
    <w:p>
      <w:pPr>
        <w:pStyle w:val="Heading2"/>
      </w:pPr>
      <w:r>
        <w:t>Créer un accès</w:t>
      </w:r>
    </w:p>
    <w:p>
      <w:r>
        <w:t>1. Renseignez « Nom », « Adresse e-mail de l’utilisateur » et « Mot de passe ».</w:t>
      </w:r>
    </w:p>
    <w:p>
      <w:r>
        <w:t>2. Vérifiez l’adresse : elle doit être unique. Le nom accepte jusqu’à 120 caractères et l’e-mail jusqu’à 254.</w:t>
      </w:r>
    </w:p>
    <w:p>
      <w:r>
        <w:t>3. Choisissez un mot de passe de 15 à 128 caractères, puis cliquez sur « Créer un accès ».</w:t>
      </w:r>
    </w:p>
    <w:p>
      <w:r>
        <w:t>4. Après confirmation, transmettez l’e-mail et le mot de passe à la personne concernée par un canal privé.</w:t>
      </w:r>
    </w:p>
    <w:p>
      <w:r>
        <w:t>5. Demandez-lui de vérifier sa connexion sur l’adresse utilisée par l’équipe.</w:t>
      </w:r>
    </w:p>
    <w:p>
      <w:r>
        <w:t>Les nouveaux accès créés par ce formulaire sont des utilisateurs ordinaires. Aucun message de bienvenue ni envoi automatique du mot de passe n’est effectué. L’interface ne propose pas de modification ultérieure du nom ou de l’e-mail, ni de promotion au rôle administrateur.</w:t>
      </w:r>
    </w:p>
    <w:p>
      <w:pPr>
        <w:pStyle w:val="Heading2"/>
      </w:pPr>
      <w:r>
        <w:t>Désactiver puis réactiver</w:t>
      </w:r>
    </w:p>
    <w:p>
      <w:r>
        <w:t>Cliquez sur « Désactiver » pour retirer temporairement un accès. Ses sessions sont invalidées. Les données métier restent conservées. Cliquez ensuite sur « Réactiver » pour autoriser une nouvelle connexion. Le mot de passe existant est conservé ; les anciennes sessions ne sont pas rétablies.</w:t>
      </w:r>
    </w:p>
    <w:p>
      <w:pPr>
        <w:pStyle w:val="Heading2"/>
      </w:pPr>
      <w:r>
        <w:t>Supprimer un accès</w:t>
      </w:r>
    </w:p>
    <w:p>
      <w:r>
        <w:t>1. Dans la ligne du bon utilisateur, cliquez sur « Supprimer ».</w:t>
      </w:r>
    </w:p>
    <w:p>
      <w:r>
        <w:t>2. Lisez la confirmation et saisissez exactement « SUPPRIMER ».</w:t>
      </w:r>
    </w:p>
    <w:p>
      <w:r>
        <w:t>3. Cliquez sur « Supprimer définitivement », ou sur « Annuler » pour abandonner.</w:t>
      </w:r>
    </w:p>
    <w:p>
      <w:r>
        <w:t>La suppression retire l’accès, ses informations d’authentification et ses sessions. Elle ne supprime pas les clients ni les paiements. Pour une absence temporaire, privilégiez la désactivation afin de pouvoir réactiver le même accès.</w:t>
      </w:r>
    </w:p>
    <w:p>
      <w:pPr>
        <w:pStyle w:val="Heading2"/>
      </w:pPr>
      <w:r>
        <w:t>Protection du compte principal</w:t>
      </w:r>
    </w:p>
    <w:p>
      <w:r>
        <w:t>Le compte de l’administrateur principal apparaît « Compte protégé ». Il ne peut pas être désactivé, supprimé ou réinitialisé par les commandes ordinaires de cette section. Sa récupération suit la procédure technique décrite au chapitre 12.</w:t>
      </w:r>
    </w:p>
    <w:p>
      <w:r>
        <w:br w:type="page"/>
      </w:r>
    </w:p>
    <w:p>
      <w:pPr>
        <w:pStyle w:val="Heading1"/>
      </w:pPr>
      <w:r>
        <w:t>10  Mots de passe et sécurité</w:t>
      </w:r>
    </w:p>
    <w:p>
      <w:pPr>
        <w:pStyle w:val="Heading2"/>
      </w:pPr>
      <w:r>
        <w:t>Définir ou renouveler le mot de passe d’un utilisateur</w:t>
      </w:r>
    </w:p>
    <w:p>
      <w:r>
        <w:t>1. En tant qu’administrateur, ouvrez « Utilisateurs ».</w:t>
      </w:r>
    </w:p>
    <w:p>
      <w:r>
        <w:t>2. Cliquez sur « Mot de passe » dans la ligne concernée.</w:t>
      </w:r>
    </w:p>
    <w:p>
      <w:r>
        <w:t>3. Dans « Définir le mot de passe », vérifiez l’adresse affichée.</w:t>
      </w:r>
    </w:p>
    <w:p>
      <w:r>
        <w:t>4. Saisissez le « Nouveau mot de passe », de 15 à 128 caractères, puis cliquez sur « Enregistrer ».</w:t>
      </w:r>
    </w:p>
    <w:p>
      <w:r>
        <w:t>5. Communiquez le nouveau mot de passe par un canal privé. La personne doit se reconnecter : ses sessions existantes ont été fermées.</w:t>
      </w:r>
    </w:p>
    <w:p>
      <w:r>
        <w:t>Cette opération initialise aussi le mot de passe d’un accès historique qui n’en possède pas encore. Un utilisateur ordinaire n’a pas de commande personnelle de changement de mot de passe et doit s’adresser à l’administrateur. Il n’existe pas de lien public « Mot de passe oublié » ni de réinitialisation envoyée automatiquement par e-mail.</w:t>
      </w:r>
    </w:p>
    <w:p>
      <w:pPr>
        <w:pStyle w:val="Heading2"/>
      </w:pPr>
      <w:r>
        <w:t>Protections présentes</w:t>
      </w:r>
    </w:p>
    <w:p>
      <w:r>
        <w:t>Les mots de passe sont conservés sous forme d’empreintes salées calculées avec scrypt. Les sessions reposent sur des jetons aléatoires dont seule l’empreinte est enregistrée en base. Le cookie de session utilise les protections HttpOnly, Secure et SameSite=Lax. Les opérations métier nécessitent une session autorisée côté serveur.</w:t>
      </w:r>
    </w:p>
    <w:p>
      <w:r>
        <w:t>La connexion est limitée à 10 tentatives par e-mail et 50 par adresse IP sur une fenêtre de 15 minutes. Les tentatives sont comptées, y compris les connexions réussies. Une équipe utilisant la même connexion Internet peut atteindre une limite commune. Un message de refus ne révèle pas si le compte est inconnu, désactivé ou sans mot de passe initialisé.</w:t>
      </w:r>
    </w:p>
    <w:p>
      <w:pPr>
        <w:pStyle w:val="Heading2"/>
      </w:pPr>
      <w:r>
        <w:t>Pratiques recommandées à l’équipe</w:t>
      </w:r>
    </w:p>
    <w:p>
      <w:r>
        <w:t>• Choisissez un mot de passe long, unique et difficile à deviner ; un gestionnaire de mots de passe peut faciliter son utilisation.</w:t>
      </w:r>
    </w:p>
    <w:p>
      <w:r>
        <w:t>• Ne partagez pas le compte administrateur. Créez un accès nominatif pour chaque personne autorisée.</w:t>
      </w:r>
    </w:p>
    <w:p>
      <w:r>
        <w:t>• Ne placez aucun mot de passe dans les notes des clients ou des kits, dans une capture d’écran ou dans une conversation publique.</w:t>
      </w:r>
    </w:p>
    <w:p>
      <w:r>
        <w:t>• Déconnectez-vous sur les appareils partagés et verrouillez votre appareil lorsque vous vous absentez.</w:t>
      </w:r>
    </w:p>
    <w:p>
      <w:r>
        <w:t>• Désactivez rapidement les accès devenus inutiles. En cas de doute sur un mot de passe utilisateur, remplacez-le pour fermer ses sessions.</w:t>
      </w:r>
    </w:p>
    <w:p>
      <w:r>
        <w:t>• Limitez les informations personnelles saisies à celles utiles au suivi et contrôlez les destinataires avant tout partage.</w:t>
      </w:r>
    </w:p>
    <w:p>
      <w:r>
        <w:t>La version actuelle ne propose pas d’authentification à deux facteurs. Ces recommandations ne doivent pas être confondues avec une fonction intégrée ou une garantie de sauvegarde.</w:t>
      </w:r>
    </w:p>
    <w:p>
      <w:r>
        <w:br w:type="page"/>
      </w:r>
    </w:p>
    <w:p>
      <w:pPr>
        <w:pStyle w:val="Heading1"/>
      </w:pPr>
      <w:r>
        <w:t>11  Résoudre les difficultés courantes</w:t>
      </w:r>
    </w:p>
    <w:p>
      <w:pPr>
        <w:pStyle w:val="Heading2"/>
      </w:pPr>
      <w:r>
        <w:t>La connexion est refusée</w:t>
      </w:r>
    </w:p>
    <w:p>
      <w:r>
        <w:t>Si « E-mail ou mot de passe incorrect. » apparaît, vérifiez l’adresse, les majuscules du mot de passe et les espaces copiés. Demandez ensuite à l’administrateur de vérifier l’état de l’accès et l’initialisation du mot de passe. Ce message peut aussi correspondre à un compte désactivé ; il ne permet pas de déterminer la cause à lui seul.</w:t>
      </w:r>
    </w:p>
    <w:p>
      <w:r>
        <w:t>Si « Trop de tentatives. Réessayez dans 15 minutes. » apparaît, respectez le délai indiqué et évitez les essais répétés. Si « Connexion indisponible. Réessayez dans un instant. » apparaît, réessayez plus tard et signalez la difficulté si elle persiste.</w:t>
      </w:r>
    </w:p>
    <w:p>
      <w:pPr>
        <w:pStyle w:val="Heading2"/>
      </w:pPr>
      <w:r>
        <w:t>Une section ou une donnée semble absente</w:t>
      </w:r>
    </w:p>
    <w:p>
      <w:r>
        <w:t>Si « Utilisateurs » n’apparaît pas, vérifiez que vous êtes connecté avec le compte administrateur. Si un client manque, examinez « Clients archivés », effacez la recherche et vérifiez le filtre d’échéance. Si un compte Starlink manque dans la vue globale, ouvrez la fiche de son client archivé. Les paiements archivés restent dans « Paiements ».</w:t>
      </w:r>
    </w:p>
    <w:p>
      <w:r>
        <w:t>La recherche de la liste Clients ne parcourt pas les numéros de série des kits détaillés ni les e-mails des comptes Starlink. Recommencez dans « Comptes Starlink » avec le champ approprié.</w:t>
      </w:r>
    </w:p>
    <w:p>
      <w:pPr>
        <w:pStyle w:val="Heading2"/>
      </w:pPr>
      <w:r>
        <w:t>Une saisie est refusée</w:t>
      </w:r>
    </w:p>
    <w:p>
      <w:r>
        <w:t>Pour un compte Starlink ou un kit, vérifiez l’unicité de l’e-mail ou du numéro de série, y compris dans les archives. Pour un paiement, vérifiez que le montant est positif et que la nouvelle échéance ne précède pas l’échéance actuelle. Pour un client, contrôlez le nom, la devise, le tarif et la date obligatoires.</w:t>
      </w:r>
    </w:p>
    <w:p>
      <w:r>
        <w:t>Si une suppression de client est bloquée, il existe un paiement ou un compte lié. Archivez le client pour le retirer de l’activité courante tout en conservant les données. L’application ne permet pas de contourner cette protection dans l’interface.</w:t>
      </w:r>
    </w:p>
    <w:p>
      <w:pPr>
        <w:pStyle w:val="Heading2"/>
      </w:pPr>
      <w:r>
        <w:t>L’enregistrement semble interrompu</w:t>
      </w:r>
    </w:p>
    <w:p>
      <w:r>
        <w:t>Vérifiez votre connexion réseau. Si la session a expiré, reconnectez-vous. Consultez la liste ou l’historique pour déterminer si l’opération a déjà été enregistrée avant de recommencer. Les formulaires nécessitent une validation explicite ; ne supposez pas qu’une saisie non confirmée est sauvegardée.</w:t>
      </w:r>
    </w:p>
    <w:p>
      <w:pPr>
        <w:pStyle w:val="Heading2"/>
      </w:pPr>
      <w:r>
        <w:t>Signaler un incident utilement</w:t>
      </w:r>
    </w:p>
    <w:p>
      <w:r>
        <w:t>Transmettez au responsable AGI la section concernée, l’heure approximative, l’opération effectuée et le texte exact du message. Pour une erreur de paiement, ajoutez le client, la date, le montant et le moyen de paiement. Masquez les informations personnelles non nécessaires et ne transmettez jamais de mot de passe ou de cookie de session.</w:t>
      </w:r>
    </w:p>
    <w:p>
      <w:r>
        <w:br w:type="page"/>
      </w:r>
    </w:p>
    <w:p>
      <w:pPr>
        <w:pStyle w:val="Heading1"/>
      </w:pPr>
      <w:r>
        <w:t>12  Administration technique et périmètre de version</w:t>
      </w:r>
    </w:p>
    <w:p>
      <w:pPr>
        <w:pStyle w:val="Heading2"/>
      </w:pPr>
      <w:r>
        <w:t>Récupérer le compte administrateur principal</w:t>
      </w:r>
    </w:p>
    <w:p>
      <w:r>
        <w:t>Cette procédure s’adresse au propriétaire ou à un intervenant technique autorisé disposant du projet et de la gestion des secrets de l’hébergement. Elle ne se réalise pas depuis le formulaire de connexion. L’adresse de l’administrateur principal configurée dans AGI est nicoandonick@gmail.com.</w:t>
      </w:r>
    </w:p>
    <w:p>
      <w:r>
        <w:t>1. Dans un terminal privé, depuis le projet AGI, exécutez : node scripts/create-owner-password.mjs</w:t>
      </w:r>
    </w:p>
    <w:p>
      <w:r>
        <w:t>2. Saisissez et confirmez le nouveau mot de passe dans la saisie masquée. Ne le passez pas en argument de commande.</w:t>
      </w:r>
    </w:p>
    <w:p>
      <w:r>
        <w:t>3. Configurez uniquement l’empreinte produite dans le secret d’hébergement AGI_OWNER_PASSWORD_HASH. Ne placez ni le mot de passe ni ce secret dans le code ou une conversation.</w:t>
      </w:r>
    </w:p>
    <w:p>
      <w:r>
        <w:t>4. Appliquez cette configuration par la procédure de déploiement autorisée, puis vérifiez la connexion et la déconnexion sur le domaine utilisé.</w:t>
      </w:r>
    </w:p>
    <w:p>
      <w:r>
        <w:t>5. La modification du secret invalide les anciennes sessions de l’administrateur. Sans secret correctement configuré, aucun mot de passe par défaut ne permet l’accès.</w:t>
      </w:r>
    </w:p>
    <w:p>
      <w:pPr>
        <w:pStyle w:val="Heading2"/>
      </w:pPr>
      <w:r>
        <w:t>Ce que couvre la version actuelle</w:t>
      </w:r>
    </w:p>
    <w:p>
      <w:r>
        <w:t>L’édition 12 réunit l’identité AGI et le thème Andonick, l’en-tête centré, la connexion par e-mail et mot de passe, l’administration des accès, les clients, les comptes Starlink multiples, les kits, les paiements et l’archivage avec restauration des liens. Le suivi reste manuel.</w:t>
      </w:r>
    </w:p>
    <w:p>
      <w:r>
        <w:t>Aucune interface n’est prévue pour importer ou exporter les données, produire des factures ou reçus, modifier ou supprimer un paiement, envoyer des rappels automatiques, consulter un journal d’audit complet ou gérer des sauvegardes. Les sauvegardes et interventions de maintenance doivent être organisées séparément par le responsable technique ; ce manuel n’établit aucune garantie de rétention.</w:t>
      </w:r>
    </w:p>
    <w:p>
      <w:pPr>
        <w:pStyle w:val="Heading2"/>
      </w:pPr>
      <w:r>
        <w:t>Repères pour la maintenance</w:t>
      </w:r>
    </w:p>
    <w:p>
      <w:r>
        <w:t>Référence de code de cette édition : f934a6649d43ded40a9ae0f4a7659209271124ae. L’authentification par mot de passe est issue de a3a3d48 ; l’en-tête centré de 3ae8653. Ces références servent à comparer le manuel à une évolution future.</w:t>
      </w:r>
    </w:p>
    <w:p>
      <w:r>
        <w:t>Les procédures correspondent notamment aux interfaces app/page.tsx, app/users-panel.tsx, app/starlink-panel.tsx, app/starlink-fields.tsx et app/login-form.tsx, à leurs routes serveur et à docs/email-password-auth.md. Après une évolution fonctionnelle, faites réviser les chapitres concernés avant de distribuer une nouvelle édition.</w:t>
      </w:r>
    </w:p>
    <w:p>
      <w:r>
        <w:t>Pour les utilisateurs, le point de contact est l’administrateur AGI. Pour le compte principal, les incidents d’hébergement ou une correction sans commande dans l’interface, faites intervenir le responsable technique autorisé.</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Andonick Group  •  AGI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24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MANUEL D’UTILISATION – AGI GESTION STARLINK</dc:title>
  <dc:subject>Guide des administrateurs et utilisateurs — version 12</dc:subject>
  <dc:creator>Andonick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